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B5F0" w14:textId="1F84A0EF" w:rsidR="005D5B32" w:rsidRDefault="005D5B32" w:rsidP="00604F1B">
      <w:pPr>
        <w:jc w:val="center"/>
        <w:rPr>
          <w:rFonts w:ascii="Arial Nova" w:hAnsi="Arial Nova"/>
        </w:rPr>
      </w:pPr>
      <w:bookmarkStart w:id="0" w:name="_Hlk127786498"/>
      <w:r>
        <w:rPr>
          <w:rFonts w:cstheme="minorHAnsi"/>
          <w:b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E1EB070" wp14:editId="745BDC16">
            <wp:simplePos x="0" y="0"/>
            <wp:positionH relativeFrom="margin">
              <wp:align>center</wp:align>
            </wp:positionH>
            <wp:positionV relativeFrom="paragraph">
              <wp:posOffset>-629758</wp:posOffset>
            </wp:positionV>
            <wp:extent cx="6462751" cy="1619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kt bez nazwy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751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9D35A" w14:textId="77777777" w:rsidR="005D5B32" w:rsidRDefault="005D5B32" w:rsidP="00604F1B">
      <w:pPr>
        <w:jc w:val="center"/>
        <w:rPr>
          <w:rFonts w:ascii="Arial Nova" w:hAnsi="Arial Nova"/>
        </w:rPr>
      </w:pPr>
    </w:p>
    <w:p w14:paraId="742187ED" w14:textId="77777777" w:rsidR="005D5B32" w:rsidRDefault="005D5B32" w:rsidP="00604F1B">
      <w:pPr>
        <w:jc w:val="center"/>
        <w:rPr>
          <w:rFonts w:ascii="Arial Nova" w:hAnsi="Arial Nova"/>
        </w:rPr>
      </w:pPr>
    </w:p>
    <w:p w14:paraId="571D70FE" w14:textId="77777777" w:rsidR="005D5B32" w:rsidRDefault="005D5B32" w:rsidP="00604F1B">
      <w:pPr>
        <w:jc w:val="center"/>
        <w:rPr>
          <w:rFonts w:ascii="Arial Nova" w:hAnsi="Arial Nova"/>
        </w:rPr>
      </w:pPr>
    </w:p>
    <w:p w14:paraId="0CA2B559" w14:textId="45688E07" w:rsidR="00604F1B" w:rsidRPr="005D5B32" w:rsidRDefault="00604F1B" w:rsidP="00604F1B">
      <w:pPr>
        <w:jc w:val="center"/>
        <w:rPr>
          <w:rFonts w:ascii="Arial Nova" w:hAnsi="Arial Nova"/>
          <w:b/>
        </w:rPr>
      </w:pPr>
      <w:r w:rsidRPr="005D5B32">
        <w:rPr>
          <w:rFonts w:ascii="Arial Nova" w:hAnsi="Arial Nova"/>
          <w:b/>
        </w:rPr>
        <w:t>Projekt ustawy o zmianie ustawy o świadczeniach opieki zdrowotnej finansowanych ze środków publicznych</w:t>
      </w:r>
    </w:p>
    <w:p w14:paraId="59206F93" w14:textId="34397F07" w:rsidR="00B61930" w:rsidRPr="00604F1B" w:rsidRDefault="00604F1B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Art. 1. </w:t>
      </w:r>
      <w:r w:rsidR="00B61930" w:rsidRPr="00604F1B">
        <w:rPr>
          <w:rFonts w:ascii="Arial Nova" w:hAnsi="Arial Nova"/>
        </w:rPr>
        <w:t>W ustawie z dnia 27 sierpnia 2004 r. o świadczeniach opieki zdrowotnej finansowan</w:t>
      </w:r>
      <w:r w:rsidR="001A5B14" w:rsidRPr="00604F1B">
        <w:rPr>
          <w:rFonts w:ascii="Arial Nova" w:hAnsi="Arial Nova"/>
        </w:rPr>
        <w:t>ych</w:t>
      </w:r>
      <w:r w:rsidR="00B61930" w:rsidRPr="00604F1B">
        <w:rPr>
          <w:rFonts w:ascii="Arial Nova" w:hAnsi="Arial Nova"/>
        </w:rPr>
        <w:t xml:space="preserve"> ze środków publicznych:</w:t>
      </w:r>
    </w:p>
    <w:p w14:paraId="4C652F5F" w14:textId="77777777" w:rsidR="00363299" w:rsidRPr="00604F1B" w:rsidRDefault="00363299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1) w art. 31e ust. 2 dodaje się pkt 2a w </w:t>
      </w:r>
      <w:r w:rsidR="00EB22BB" w:rsidRPr="00604F1B">
        <w:rPr>
          <w:rFonts w:ascii="Arial Nova" w:hAnsi="Arial Nova"/>
        </w:rPr>
        <w:t>brzmieniu</w:t>
      </w:r>
      <w:r w:rsidRPr="00604F1B">
        <w:rPr>
          <w:rFonts w:ascii="Arial Nova" w:hAnsi="Arial Nova"/>
        </w:rPr>
        <w:t>:</w:t>
      </w:r>
    </w:p>
    <w:p w14:paraId="60D7289A" w14:textId="77777777" w:rsidR="00363299" w:rsidRPr="00604F1B" w:rsidRDefault="00363299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„</w:t>
      </w:r>
      <w:r w:rsidR="00A71CE0" w:rsidRPr="00604F1B">
        <w:rPr>
          <w:rFonts w:ascii="Arial Nova" w:hAnsi="Arial Nova"/>
        </w:rPr>
        <w:t>2a) reprezentatywne organizacje świadczeniodawców;”</w:t>
      </w:r>
    </w:p>
    <w:p w14:paraId="393D74A9" w14:textId="77777777" w:rsidR="00E12BC4" w:rsidRPr="00604F1B" w:rsidRDefault="00363299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2</w:t>
      </w:r>
      <w:r w:rsidR="00B61930" w:rsidRPr="00604F1B">
        <w:rPr>
          <w:rFonts w:ascii="Arial Nova" w:hAnsi="Arial Nova"/>
        </w:rPr>
        <w:t>) a</w:t>
      </w:r>
      <w:r w:rsidR="00A77548" w:rsidRPr="00604F1B">
        <w:rPr>
          <w:rFonts w:ascii="Arial Nova" w:hAnsi="Arial Nova"/>
        </w:rPr>
        <w:t>rt.  31ha</w:t>
      </w:r>
      <w:r w:rsidR="00E12BC4" w:rsidRPr="00604F1B">
        <w:rPr>
          <w:rFonts w:ascii="Arial Nova" w:hAnsi="Arial Nova"/>
        </w:rPr>
        <w:t xml:space="preserve"> otrzymuje brzmienie</w:t>
      </w:r>
      <w:r w:rsidR="00B50B71" w:rsidRPr="00604F1B">
        <w:rPr>
          <w:rFonts w:ascii="Arial Nova" w:hAnsi="Arial Nova"/>
        </w:rPr>
        <w:t>:</w:t>
      </w:r>
      <w:r w:rsidR="00E12BC4" w:rsidRPr="00604F1B">
        <w:rPr>
          <w:rFonts w:ascii="Arial Nova" w:hAnsi="Arial Nova"/>
        </w:rPr>
        <w:t xml:space="preserve"> </w:t>
      </w:r>
    </w:p>
    <w:p w14:paraId="05B153A3" w14:textId="77777777" w:rsidR="00A77548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„Art. 31ha </w:t>
      </w:r>
      <w:r w:rsidR="00A77548" w:rsidRPr="00604F1B">
        <w:rPr>
          <w:rFonts w:ascii="Arial Nova" w:hAnsi="Arial Nova"/>
        </w:rPr>
        <w:t>1. Prezes Agencji:</w:t>
      </w:r>
    </w:p>
    <w:p w14:paraId="7EE23854" w14:textId="77777777" w:rsidR="00A77548" w:rsidRPr="00604F1B" w:rsidRDefault="00A77548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1) w terminie do </w:t>
      </w:r>
      <w:r w:rsidR="00726D18" w:rsidRPr="00604F1B">
        <w:rPr>
          <w:rFonts w:ascii="Arial Nova" w:hAnsi="Arial Nova"/>
        </w:rPr>
        <w:t>31</w:t>
      </w:r>
      <w:r w:rsidRPr="00604F1B">
        <w:rPr>
          <w:rFonts w:ascii="Arial Nova" w:hAnsi="Arial Nova"/>
        </w:rPr>
        <w:t xml:space="preserve"> marca w zakresie dotyczącym wzrostu kosztów udzielania świadczeń opieki zdrowotnej, z wyłączeniem kosztów</w:t>
      </w:r>
      <w:r w:rsidR="00B50B71" w:rsidRPr="00604F1B">
        <w:rPr>
          <w:rFonts w:ascii="Arial Nova" w:hAnsi="Arial Nova"/>
        </w:rPr>
        <w:t>,</w:t>
      </w:r>
      <w:r w:rsidRPr="00604F1B">
        <w:rPr>
          <w:rFonts w:ascii="Arial Nova" w:hAnsi="Arial Nova"/>
        </w:rPr>
        <w:t xml:space="preserve"> o których mowa w pkt 2, </w:t>
      </w:r>
    </w:p>
    <w:p w14:paraId="4797DD7C" w14:textId="2BEDAD41" w:rsidR="00A77548" w:rsidRPr="00604F1B" w:rsidRDefault="00A77548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2) w terminie do 30 kwietnia w zakresie dotyczącym wzrostu kosztów udzielania świadczeń opieki zdrowotnej wynikających z ustawy z dnia 8 czerwca 2017 r. o sposobie ustalania najniższego wynagrodzenia zasadniczego niektórych pracowników zatrudnionych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>w podmiotach leczniczych</w:t>
      </w:r>
      <w:r w:rsidR="00E80951" w:rsidRPr="00604F1B">
        <w:rPr>
          <w:rFonts w:ascii="Arial Nova" w:hAnsi="Arial Nova"/>
        </w:rPr>
        <w:t xml:space="preserve">, wzrostu kosztów umów cywilnoprawnych </w:t>
      </w:r>
      <w:r w:rsidR="00D36617" w:rsidRPr="00604F1B">
        <w:rPr>
          <w:rFonts w:ascii="Arial Nova" w:hAnsi="Arial Nova"/>
        </w:rPr>
        <w:t xml:space="preserve">oraz </w:t>
      </w:r>
      <w:r w:rsidR="00E80951" w:rsidRPr="00604F1B">
        <w:rPr>
          <w:rFonts w:ascii="Arial Nova" w:hAnsi="Arial Nova"/>
        </w:rPr>
        <w:t>zakupu usług medycznych</w:t>
      </w:r>
      <w:r w:rsidRPr="00604F1B">
        <w:rPr>
          <w:rFonts w:ascii="Arial Nova" w:hAnsi="Arial Nova"/>
        </w:rPr>
        <w:t>,</w:t>
      </w:r>
    </w:p>
    <w:p w14:paraId="2818B856" w14:textId="77777777" w:rsidR="00A77548" w:rsidRPr="00604F1B" w:rsidRDefault="0028288F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3</w:t>
      </w:r>
      <w:r w:rsidR="00A77548" w:rsidRPr="00604F1B">
        <w:rPr>
          <w:rFonts w:ascii="Arial Nova" w:hAnsi="Arial Nova"/>
        </w:rPr>
        <w:t xml:space="preserve">) w terminie 21 dni od dnia otrzymania zlecenia ministra właściwego do spraw zdrowia, </w:t>
      </w:r>
      <w:r w:rsidR="00B50B71" w:rsidRPr="00604F1B">
        <w:rPr>
          <w:rFonts w:ascii="Arial Nova" w:hAnsi="Arial Nova"/>
        </w:rPr>
        <w:br/>
      </w:r>
      <w:r w:rsidR="00A77548" w:rsidRPr="00604F1B">
        <w:rPr>
          <w:rFonts w:ascii="Arial Nova" w:hAnsi="Arial Nova"/>
        </w:rPr>
        <w:t>o którym mowa w art. 31n pkt 2c, wyda</w:t>
      </w:r>
      <w:r w:rsidR="00D530F3" w:rsidRPr="00604F1B">
        <w:rPr>
          <w:rFonts w:ascii="Arial Nova" w:hAnsi="Arial Nova"/>
        </w:rPr>
        <w:t>nego</w:t>
      </w:r>
      <w:r w:rsidR="00A77548" w:rsidRPr="00604F1B">
        <w:rPr>
          <w:rFonts w:ascii="Arial Nova" w:hAnsi="Arial Nova"/>
        </w:rPr>
        <w:t xml:space="preserve"> w związku z nadzwyczajnym wzrostem kosztów udzielania świadczeń</w:t>
      </w:r>
      <w:r w:rsidR="00726D18" w:rsidRPr="00604F1B">
        <w:rPr>
          <w:rFonts w:ascii="Arial Nova" w:hAnsi="Arial Nova"/>
        </w:rPr>
        <w:t xml:space="preserve"> opieki zdrowotnej </w:t>
      </w:r>
    </w:p>
    <w:p w14:paraId="5764905C" w14:textId="77777777" w:rsidR="002B06DF" w:rsidRPr="00604F1B" w:rsidRDefault="00A77548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- dokonuje analizy dotyczącej zmiany sposobu lub poziomu finansowania świadczeń opieki zdrowotnej oraz przygotowuje </w:t>
      </w:r>
      <w:r w:rsidR="002649CA" w:rsidRPr="00604F1B">
        <w:rPr>
          <w:rFonts w:ascii="Arial Nova" w:hAnsi="Arial Nova"/>
        </w:rPr>
        <w:t>i publikuje na st</w:t>
      </w:r>
      <w:r w:rsidR="0028288F" w:rsidRPr="00604F1B">
        <w:rPr>
          <w:rFonts w:ascii="Arial Nova" w:hAnsi="Arial Nova"/>
        </w:rPr>
        <w:t xml:space="preserve">ronie </w:t>
      </w:r>
      <w:r w:rsidR="002649CA" w:rsidRPr="00604F1B">
        <w:rPr>
          <w:rFonts w:ascii="Arial Nova" w:hAnsi="Arial Nova"/>
        </w:rPr>
        <w:t xml:space="preserve">Biuletynu Informacji Publicznej </w:t>
      </w:r>
      <w:r w:rsidR="005271C2" w:rsidRPr="00604F1B">
        <w:rPr>
          <w:rFonts w:ascii="Arial Nova" w:hAnsi="Arial Nova"/>
        </w:rPr>
        <w:t xml:space="preserve">Agencji </w:t>
      </w:r>
      <w:r w:rsidRPr="00604F1B">
        <w:rPr>
          <w:rFonts w:ascii="Arial Nova" w:hAnsi="Arial Nova"/>
        </w:rPr>
        <w:t xml:space="preserve">raport w sprawie zmiany sposobu lub poziomu finansowania świadczeń opieki zdrowotnej </w:t>
      </w:r>
      <w:r w:rsidR="00A94C65" w:rsidRPr="00604F1B">
        <w:rPr>
          <w:rFonts w:ascii="Arial Nova" w:hAnsi="Arial Nova"/>
        </w:rPr>
        <w:t xml:space="preserve">wraz z rekomendacją. </w:t>
      </w:r>
      <w:r w:rsidR="0028288F" w:rsidRPr="00604F1B">
        <w:rPr>
          <w:rFonts w:ascii="Arial Nova" w:hAnsi="Arial Nova"/>
        </w:rPr>
        <w:t xml:space="preserve"> </w:t>
      </w:r>
    </w:p>
    <w:p w14:paraId="48030073" w14:textId="77777777" w:rsidR="002B06DF" w:rsidRPr="00604F1B" w:rsidRDefault="002B06DF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1a. Do raportu</w:t>
      </w:r>
      <w:r w:rsidR="00A94C65" w:rsidRPr="00604F1B">
        <w:rPr>
          <w:rFonts w:ascii="Arial Nova" w:hAnsi="Arial Nova"/>
        </w:rPr>
        <w:t xml:space="preserve"> </w:t>
      </w:r>
      <w:r w:rsidR="00D36617" w:rsidRPr="00604F1B">
        <w:rPr>
          <w:rFonts w:ascii="Arial Nova" w:hAnsi="Arial Nova"/>
        </w:rPr>
        <w:t>w sprawie zmiany sposobu lub poziomu finansowania świadczeń opieki zdrowotnej i</w:t>
      </w:r>
      <w:r w:rsidR="00A94C65" w:rsidRPr="00604F1B">
        <w:rPr>
          <w:rFonts w:ascii="Arial Nova" w:hAnsi="Arial Nova"/>
        </w:rPr>
        <w:t xml:space="preserve"> rekomendacji</w:t>
      </w:r>
      <w:r w:rsidR="00D36617" w:rsidRPr="00604F1B">
        <w:rPr>
          <w:rFonts w:ascii="Arial Nova" w:hAnsi="Arial Nova"/>
        </w:rPr>
        <w:t xml:space="preserve"> </w:t>
      </w:r>
      <w:r w:rsidRPr="00604F1B">
        <w:rPr>
          <w:rFonts w:ascii="Arial Nova" w:hAnsi="Arial Nova"/>
        </w:rPr>
        <w:t xml:space="preserve">można zgłaszać uwagi w terminie 7 dni od dnia </w:t>
      </w:r>
      <w:r w:rsidR="00A94C65" w:rsidRPr="00604F1B">
        <w:rPr>
          <w:rFonts w:ascii="Arial Nova" w:hAnsi="Arial Nova"/>
        </w:rPr>
        <w:t>ich</w:t>
      </w:r>
      <w:r w:rsidRPr="00604F1B">
        <w:rPr>
          <w:rFonts w:ascii="Arial Nova" w:hAnsi="Arial Nova"/>
        </w:rPr>
        <w:t xml:space="preserve"> opublikowania.</w:t>
      </w:r>
    </w:p>
    <w:p w14:paraId="36350C40" w14:textId="77777777" w:rsidR="002B06DF" w:rsidRPr="00604F1B" w:rsidRDefault="002B06DF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1b.  Raport</w:t>
      </w:r>
      <w:r w:rsidR="00D36617" w:rsidRPr="00604F1B">
        <w:rPr>
          <w:rFonts w:ascii="Arial Nova" w:hAnsi="Arial Nova"/>
        </w:rPr>
        <w:t xml:space="preserve"> w sprawie zmiany sposobu lub poziomu finansowania świadczeń opieki zdrowotnej</w:t>
      </w:r>
      <w:r w:rsidR="00A94C65" w:rsidRPr="00604F1B">
        <w:rPr>
          <w:rFonts w:ascii="Arial Nova" w:hAnsi="Arial Nova"/>
        </w:rPr>
        <w:t>, wraz z rekomendacją i uwagami, o których mowa w ust. 1a Prezes Agencji przekazuje ministrowi właściwemu d</w:t>
      </w:r>
      <w:r w:rsidR="00D36617" w:rsidRPr="00604F1B">
        <w:rPr>
          <w:rFonts w:ascii="Arial Nova" w:hAnsi="Arial Nova"/>
        </w:rPr>
        <w:t>o spraw</w:t>
      </w:r>
      <w:r w:rsidR="00A94C65" w:rsidRPr="00604F1B">
        <w:rPr>
          <w:rFonts w:ascii="Arial Nova" w:hAnsi="Arial Nova"/>
        </w:rPr>
        <w:t xml:space="preserve"> zdrowia w terminie 2 dni od upływu terminu, o którym mowa w ust. 1a.</w:t>
      </w:r>
    </w:p>
    <w:p w14:paraId="2C23D03D" w14:textId="56943DFE" w:rsidR="00726D18" w:rsidRPr="00604F1B" w:rsidRDefault="00726D18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1</w:t>
      </w:r>
      <w:r w:rsidR="00D36617" w:rsidRPr="00604F1B">
        <w:rPr>
          <w:rFonts w:ascii="Arial Nova" w:hAnsi="Arial Nova"/>
        </w:rPr>
        <w:t>c</w:t>
      </w:r>
      <w:r w:rsidRPr="00604F1B">
        <w:rPr>
          <w:rFonts w:ascii="Arial Nova" w:hAnsi="Arial Nova"/>
        </w:rPr>
        <w:t xml:space="preserve">. Prezes Głównego Urzędu Statystycznego, na podstawie </w:t>
      </w:r>
      <w:r w:rsidR="00D36617" w:rsidRPr="00604F1B">
        <w:rPr>
          <w:rFonts w:ascii="Arial Nova" w:hAnsi="Arial Nova"/>
        </w:rPr>
        <w:t xml:space="preserve">wstępnego </w:t>
      </w:r>
      <w:r w:rsidRPr="00604F1B">
        <w:rPr>
          <w:rFonts w:ascii="Arial Nova" w:hAnsi="Arial Nova"/>
        </w:rPr>
        <w:t>sprawozdani</w:t>
      </w:r>
      <w:r w:rsidR="00D36617" w:rsidRPr="00604F1B">
        <w:rPr>
          <w:rFonts w:ascii="Arial Nova" w:hAnsi="Arial Nova"/>
        </w:rPr>
        <w:t>a</w:t>
      </w:r>
      <w:r w:rsidRPr="00604F1B">
        <w:rPr>
          <w:rFonts w:ascii="Arial Nova" w:hAnsi="Arial Nova"/>
        </w:rPr>
        <w:t xml:space="preserve">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>o finansach podmiotów wykonujących działalność leczniczą z sektora publicznego</w:t>
      </w:r>
      <w:r w:rsidR="009A62AD" w:rsidRPr="00604F1B">
        <w:rPr>
          <w:rFonts w:ascii="Arial Nova" w:hAnsi="Arial Nova"/>
        </w:rPr>
        <w:t xml:space="preserve"> za rok poprzedni, </w:t>
      </w:r>
      <w:r w:rsidR="00B50B71" w:rsidRPr="00604F1B">
        <w:rPr>
          <w:rFonts w:ascii="Arial Nova" w:hAnsi="Arial Nova"/>
        </w:rPr>
        <w:br/>
      </w:r>
      <w:r w:rsidR="009A62AD" w:rsidRPr="00604F1B">
        <w:rPr>
          <w:rFonts w:ascii="Arial Nova" w:hAnsi="Arial Nova"/>
        </w:rPr>
        <w:t>w terminie do 10 marca</w:t>
      </w:r>
      <w:r w:rsidRPr="00604F1B">
        <w:rPr>
          <w:rFonts w:ascii="Arial Nova" w:hAnsi="Arial Nova"/>
        </w:rPr>
        <w:t xml:space="preserve"> ogłasza, w formie komunikatu, w Dzienniku Urzędowym Rzeczypospolitej Polskiej "Monitor Polski" średnioroczny wskaźnik cen towarów i usług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>w podmiotach wykonujących działalność leczniczą ogółem oraz w podziale na:</w:t>
      </w:r>
    </w:p>
    <w:p w14:paraId="74F87798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1) </w:t>
      </w:r>
      <w:r w:rsidR="001C46D1" w:rsidRPr="00604F1B">
        <w:rPr>
          <w:rFonts w:ascii="Arial Nova" w:hAnsi="Arial Nova"/>
        </w:rPr>
        <w:t>średnioroczny wskaźnik cen leków</w:t>
      </w:r>
      <w:r w:rsidR="005271C2" w:rsidRPr="00604F1B">
        <w:rPr>
          <w:rFonts w:ascii="Arial Nova" w:hAnsi="Arial Nova"/>
        </w:rPr>
        <w:t>;</w:t>
      </w:r>
    </w:p>
    <w:p w14:paraId="7B10EE56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lastRenderedPageBreak/>
        <w:t xml:space="preserve">2) </w:t>
      </w:r>
      <w:r w:rsidR="001C46D1" w:rsidRPr="00604F1B">
        <w:rPr>
          <w:rFonts w:ascii="Arial Nova" w:hAnsi="Arial Nova"/>
        </w:rPr>
        <w:t>średnioroczny wskaźnik cen żywności</w:t>
      </w:r>
      <w:r w:rsidR="005271C2" w:rsidRPr="00604F1B">
        <w:rPr>
          <w:rFonts w:ascii="Arial Nova" w:hAnsi="Arial Nova"/>
        </w:rPr>
        <w:t>;</w:t>
      </w:r>
    </w:p>
    <w:p w14:paraId="53945DA4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3) </w:t>
      </w:r>
      <w:r w:rsidR="001C46D1" w:rsidRPr="00604F1B">
        <w:rPr>
          <w:rFonts w:ascii="Arial Nova" w:hAnsi="Arial Nova"/>
        </w:rPr>
        <w:t>średnioroczny wskaźnik cen sprzętu jednorazowego</w:t>
      </w:r>
      <w:r w:rsidR="005271C2" w:rsidRPr="00604F1B">
        <w:rPr>
          <w:rFonts w:ascii="Arial Nova" w:hAnsi="Arial Nova"/>
        </w:rPr>
        <w:t>;</w:t>
      </w:r>
    </w:p>
    <w:p w14:paraId="7DD934EA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4) </w:t>
      </w:r>
      <w:r w:rsidR="001C46D1" w:rsidRPr="00604F1B">
        <w:rPr>
          <w:rFonts w:ascii="Arial Nova" w:hAnsi="Arial Nova"/>
        </w:rPr>
        <w:t>średnioroczny wskaźnik cen odczynników chemicznych i materiałów diagnostycznych</w:t>
      </w:r>
      <w:r w:rsidR="005271C2" w:rsidRPr="00604F1B">
        <w:rPr>
          <w:rFonts w:ascii="Arial Nova" w:hAnsi="Arial Nova"/>
        </w:rPr>
        <w:t>;</w:t>
      </w:r>
    </w:p>
    <w:p w14:paraId="10CFFB22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5) </w:t>
      </w:r>
      <w:r w:rsidR="001C46D1" w:rsidRPr="00604F1B">
        <w:rPr>
          <w:rFonts w:ascii="Arial Nova" w:hAnsi="Arial Nova"/>
        </w:rPr>
        <w:t>średnioroczny wskaźnik cen paliwa (gaz)</w:t>
      </w:r>
      <w:r w:rsidR="005271C2" w:rsidRPr="00604F1B">
        <w:rPr>
          <w:rFonts w:ascii="Arial Nova" w:hAnsi="Arial Nova"/>
        </w:rPr>
        <w:t>;</w:t>
      </w:r>
    </w:p>
    <w:p w14:paraId="15E2003A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6) </w:t>
      </w:r>
      <w:r w:rsidR="001C46D1" w:rsidRPr="00604F1B">
        <w:rPr>
          <w:rFonts w:ascii="Arial Nova" w:hAnsi="Arial Nova"/>
        </w:rPr>
        <w:t>średnioroczny wskaźnik cen zużycia pozostałych materiałów</w:t>
      </w:r>
      <w:r w:rsidR="005271C2" w:rsidRPr="00604F1B">
        <w:rPr>
          <w:rFonts w:ascii="Arial Nova" w:hAnsi="Arial Nova"/>
        </w:rPr>
        <w:t>;</w:t>
      </w:r>
    </w:p>
    <w:p w14:paraId="1A2F5F61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7) </w:t>
      </w:r>
      <w:r w:rsidR="001C46D1" w:rsidRPr="00604F1B">
        <w:rPr>
          <w:rFonts w:ascii="Arial Nova" w:hAnsi="Arial Nova"/>
        </w:rPr>
        <w:t>średnioroczny wskaźnik cen energii elektrycznej</w:t>
      </w:r>
      <w:r w:rsidR="005271C2" w:rsidRPr="00604F1B">
        <w:rPr>
          <w:rFonts w:ascii="Arial Nova" w:hAnsi="Arial Nova"/>
        </w:rPr>
        <w:t>;</w:t>
      </w:r>
    </w:p>
    <w:p w14:paraId="266AC975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8) </w:t>
      </w:r>
      <w:r w:rsidR="001C46D1" w:rsidRPr="00604F1B">
        <w:rPr>
          <w:rFonts w:ascii="Arial Nova" w:hAnsi="Arial Nova"/>
        </w:rPr>
        <w:t>średnioroczny wskaźnik cen energii cieplnej</w:t>
      </w:r>
      <w:r w:rsidR="005271C2" w:rsidRPr="00604F1B">
        <w:rPr>
          <w:rFonts w:ascii="Arial Nova" w:hAnsi="Arial Nova"/>
        </w:rPr>
        <w:t>;</w:t>
      </w:r>
    </w:p>
    <w:p w14:paraId="69BF5056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9) </w:t>
      </w:r>
      <w:r w:rsidR="001C46D1" w:rsidRPr="00604F1B">
        <w:rPr>
          <w:rFonts w:ascii="Arial Nova" w:hAnsi="Arial Nova"/>
        </w:rPr>
        <w:t>średnioroczny wskaźnik cen energii (pozostałe)</w:t>
      </w:r>
      <w:r w:rsidR="005271C2" w:rsidRPr="00604F1B">
        <w:rPr>
          <w:rFonts w:ascii="Arial Nova" w:hAnsi="Arial Nova"/>
        </w:rPr>
        <w:t>;</w:t>
      </w:r>
    </w:p>
    <w:p w14:paraId="6B79F457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10) </w:t>
      </w:r>
      <w:r w:rsidR="001C46D1" w:rsidRPr="00604F1B">
        <w:rPr>
          <w:rFonts w:ascii="Arial Nova" w:hAnsi="Arial Nova"/>
        </w:rPr>
        <w:t>średnioroczny wskaźnik cen usług remontowych</w:t>
      </w:r>
      <w:r w:rsidR="005271C2" w:rsidRPr="00604F1B">
        <w:rPr>
          <w:rFonts w:ascii="Arial Nova" w:hAnsi="Arial Nova"/>
        </w:rPr>
        <w:t>;</w:t>
      </w:r>
    </w:p>
    <w:p w14:paraId="409FAC89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11) </w:t>
      </w:r>
      <w:r w:rsidR="001C46D1" w:rsidRPr="00604F1B">
        <w:rPr>
          <w:rFonts w:ascii="Arial Nova" w:hAnsi="Arial Nova"/>
        </w:rPr>
        <w:t>średnioroczny wskaźnik cen usług transportowych</w:t>
      </w:r>
      <w:r w:rsidR="005271C2" w:rsidRPr="00604F1B">
        <w:rPr>
          <w:rFonts w:ascii="Arial Nova" w:hAnsi="Arial Nova"/>
        </w:rPr>
        <w:t>;</w:t>
      </w:r>
    </w:p>
    <w:p w14:paraId="48AAD238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12) </w:t>
      </w:r>
      <w:r w:rsidR="001C46D1" w:rsidRPr="00604F1B">
        <w:rPr>
          <w:rFonts w:ascii="Arial Nova" w:hAnsi="Arial Nova"/>
        </w:rPr>
        <w:t>średnioroczny wskaźnik cen usług medycznych obcych</w:t>
      </w:r>
      <w:r w:rsidR="005271C2" w:rsidRPr="00604F1B">
        <w:rPr>
          <w:rFonts w:ascii="Arial Nova" w:hAnsi="Arial Nova"/>
        </w:rPr>
        <w:t>;</w:t>
      </w:r>
    </w:p>
    <w:p w14:paraId="5C4F8F00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13) </w:t>
      </w:r>
      <w:r w:rsidR="001C46D1" w:rsidRPr="00604F1B">
        <w:rPr>
          <w:rFonts w:ascii="Arial Nova" w:hAnsi="Arial Nova"/>
        </w:rPr>
        <w:t>średnioroczny wskaźnik cen pozostałych usług obcych</w:t>
      </w:r>
      <w:r w:rsidR="005271C2" w:rsidRPr="00604F1B">
        <w:rPr>
          <w:rFonts w:ascii="Arial Nova" w:hAnsi="Arial Nova"/>
        </w:rPr>
        <w:t>;</w:t>
      </w:r>
    </w:p>
    <w:p w14:paraId="732DD8F9" w14:textId="77777777" w:rsidR="001C46D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14) </w:t>
      </w:r>
      <w:r w:rsidR="001C46D1" w:rsidRPr="00604F1B">
        <w:rPr>
          <w:rFonts w:ascii="Arial Nova" w:hAnsi="Arial Nova"/>
        </w:rPr>
        <w:t>średnioroczny wskaźnik podatków i opłat</w:t>
      </w:r>
      <w:r w:rsidR="005271C2" w:rsidRPr="00604F1B">
        <w:rPr>
          <w:rFonts w:ascii="Arial Nova" w:hAnsi="Arial Nova"/>
        </w:rPr>
        <w:t>;</w:t>
      </w:r>
    </w:p>
    <w:p w14:paraId="40E9D0D4" w14:textId="77777777" w:rsidR="00544B4F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15) </w:t>
      </w:r>
      <w:r w:rsidR="009A62AD" w:rsidRPr="00604F1B">
        <w:rPr>
          <w:rFonts w:ascii="Arial Nova" w:hAnsi="Arial Nova"/>
        </w:rPr>
        <w:t>średnioroczny wskaźnik wynagrodzeń umów zleceń i dzieło</w:t>
      </w:r>
      <w:r w:rsidR="00544B4F" w:rsidRPr="00604F1B">
        <w:rPr>
          <w:rFonts w:ascii="Arial Nova" w:hAnsi="Arial Nova"/>
        </w:rPr>
        <w:t>.</w:t>
      </w:r>
    </w:p>
    <w:p w14:paraId="64FD1EF8" w14:textId="77777777" w:rsidR="00A77548" w:rsidRPr="00604F1B" w:rsidRDefault="002649CA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2. </w:t>
      </w:r>
      <w:r w:rsidR="00A77548" w:rsidRPr="00604F1B">
        <w:rPr>
          <w:rFonts w:ascii="Arial Nova" w:hAnsi="Arial Nova"/>
        </w:rPr>
        <w:t>Raport w sprawie zmiany sposobu lub poziomu finansowania świadczeń opieki zdrowotnej</w:t>
      </w:r>
      <w:r w:rsidRPr="00604F1B">
        <w:rPr>
          <w:rFonts w:ascii="Arial Nova" w:hAnsi="Arial Nova"/>
        </w:rPr>
        <w:t xml:space="preserve">, </w:t>
      </w:r>
      <w:r w:rsidR="00B50B71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o którym mowa w ust. 1 pkt 1 </w:t>
      </w:r>
      <w:r w:rsidR="00A77548" w:rsidRPr="00604F1B">
        <w:rPr>
          <w:rFonts w:ascii="Arial Nova" w:hAnsi="Arial Nova"/>
        </w:rPr>
        <w:t>zawiera</w:t>
      </w:r>
      <w:r w:rsidR="00C911CA" w:rsidRPr="00604F1B">
        <w:rPr>
          <w:rFonts w:ascii="Arial Nova" w:hAnsi="Arial Nova"/>
        </w:rPr>
        <w:t xml:space="preserve"> w szczególności</w:t>
      </w:r>
      <w:r w:rsidR="00A77548" w:rsidRPr="00604F1B">
        <w:rPr>
          <w:rFonts w:ascii="Arial Nova" w:hAnsi="Arial Nova"/>
        </w:rPr>
        <w:t>:</w:t>
      </w:r>
    </w:p>
    <w:p w14:paraId="5D99F4A5" w14:textId="77777777" w:rsidR="008C3F4D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1) </w:t>
      </w:r>
      <w:r w:rsidR="002649CA" w:rsidRPr="00604F1B">
        <w:rPr>
          <w:rFonts w:ascii="Arial Nova" w:hAnsi="Arial Nova"/>
        </w:rPr>
        <w:t xml:space="preserve">analizę </w:t>
      </w:r>
      <w:r w:rsidR="008C3F4D" w:rsidRPr="00604F1B">
        <w:rPr>
          <w:rFonts w:ascii="Arial Nova" w:hAnsi="Arial Nova"/>
        </w:rPr>
        <w:t>wzrostu wskaźników cen towarów i usług, o których mowa w ust. 1</w:t>
      </w:r>
      <w:r w:rsidR="00D36617" w:rsidRPr="00604F1B">
        <w:rPr>
          <w:rFonts w:ascii="Arial Nova" w:hAnsi="Arial Nova"/>
        </w:rPr>
        <w:t>c</w:t>
      </w:r>
      <w:r w:rsidR="00E80951" w:rsidRPr="00604F1B">
        <w:rPr>
          <w:rFonts w:ascii="Arial Nova" w:hAnsi="Arial Nova"/>
        </w:rPr>
        <w:t xml:space="preserve"> pkt 1-11</w:t>
      </w:r>
      <w:r w:rsidR="00D36617" w:rsidRPr="00604F1B">
        <w:rPr>
          <w:rFonts w:ascii="Arial Nova" w:hAnsi="Arial Nova"/>
        </w:rPr>
        <w:t xml:space="preserve"> i </w:t>
      </w:r>
      <w:r w:rsidR="00E80951" w:rsidRPr="00604F1B">
        <w:rPr>
          <w:rFonts w:ascii="Arial Nova" w:hAnsi="Arial Nova"/>
        </w:rPr>
        <w:t>13-14</w:t>
      </w:r>
      <w:r w:rsidR="008C3F4D" w:rsidRPr="00604F1B">
        <w:rPr>
          <w:rFonts w:ascii="Arial Nova" w:hAnsi="Arial Nova"/>
        </w:rPr>
        <w:t xml:space="preserve">, </w:t>
      </w:r>
      <w:r w:rsidR="00C911CA" w:rsidRPr="00604F1B">
        <w:rPr>
          <w:rFonts w:ascii="Arial Nova" w:hAnsi="Arial Nova"/>
        </w:rPr>
        <w:t xml:space="preserve">ich </w:t>
      </w:r>
      <w:r w:rsidR="008C3F4D" w:rsidRPr="00604F1B">
        <w:rPr>
          <w:rFonts w:ascii="Arial Nova" w:hAnsi="Arial Nova"/>
        </w:rPr>
        <w:t>wpływu na</w:t>
      </w:r>
      <w:r w:rsidR="00BE79AC" w:rsidRPr="00604F1B">
        <w:rPr>
          <w:rFonts w:ascii="Arial Nova" w:hAnsi="Arial Nova"/>
        </w:rPr>
        <w:t xml:space="preserve"> wzrost</w:t>
      </w:r>
      <w:r w:rsidR="008C3F4D" w:rsidRPr="00604F1B">
        <w:rPr>
          <w:rFonts w:ascii="Arial Nova" w:hAnsi="Arial Nova"/>
        </w:rPr>
        <w:t xml:space="preserve"> koszt</w:t>
      </w:r>
      <w:r w:rsidR="00BE79AC" w:rsidRPr="00604F1B">
        <w:rPr>
          <w:rFonts w:ascii="Arial Nova" w:hAnsi="Arial Nova"/>
        </w:rPr>
        <w:t>ów</w:t>
      </w:r>
      <w:r w:rsidR="008C3F4D" w:rsidRPr="00604F1B">
        <w:rPr>
          <w:rFonts w:ascii="Arial Nova" w:hAnsi="Arial Nova"/>
        </w:rPr>
        <w:t xml:space="preserve"> udzielania świadczeń opieki zdrowotnej</w:t>
      </w:r>
      <w:r w:rsidR="00C911CA" w:rsidRPr="00604F1B">
        <w:rPr>
          <w:rFonts w:ascii="Arial Nova" w:hAnsi="Arial Nova"/>
        </w:rPr>
        <w:t>;</w:t>
      </w:r>
    </w:p>
    <w:p w14:paraId="764B5500" w14:textId="77777777" w:rsidR="00A77548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2) </w:t>
      </w:r>
      <w:r w:rsidR="00A77548" w:rsidRPr="00604F1B">
        <w:rPr>
          <w:rFonts w:ascii="Arial Nova" w:hAnsi="Arial Nova"/>
        </w:rPr>
        <w:t>analizę danych kosztowych pozyskanych od świadczeniodawców</w:t>
      </w:r>
      <w:r w:rsidR="008C3F4D" w:rsidRPr="00604F1B">
        <w:rPr>
          <w:rFonts w:ascii="Arial Nova" w:hAnsi="Arial Nova"/>
        </w:rPr>
        <w:t>, jeżeli takie dane były dodatkowo gromadzone</w:t>
      </w:r>
      <w:r w:rsidR="00A77548" w:rsidRPr="00604F1B">
        <w:rPr>
          <w:rFonts w:ascii="Arial Nova" w:hAnsi="Arial Nova"/>
        </w:rPr>
        <w:t>;</w:t>
      </w:r>
    </w:p>
    <w:p w14:paraId="4308D2E4" w14:textId="77777777" w:rsidR="00C911CA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3) </w:t>
      </w:r>
      <w:r w:rsidR="00C911CA" w:rsidRPr="00604F1B">
        <w:rPr>
          <w:rFonts w:ascii="Arial Nova" w:hAnsi="Arial Nova"/>
        </w:rPr>
        <w:t xml:space="preserve">sposób uwzględnienia w systemie finansowania świadczeń opieki zdrowotnej </w:t>
      </w:r>
      <w:r w:rsidR="0028288F" w:rsidRPr="00604F1B">
        <w:rPr>
          <w:rFonts w:ascii="Arial Nova" w:hAnsi="Arial Nova"/>
        </w:rPr>
        <w:t xml:space="preserve">okoliczności, </w:t>
      </w:r>
      <w:r w:rsidR="00B50B71" w:rsidRPr="00604F1B">
        <w:rPr>
          <w:rFonts w:ascii="Arial Nova" w:hAnsi="Arial Nova"/>
        </w:rPr>
        <w:br/>
      </w:r>
      <w:r w:rsidR="0028288F" w:rsidRPr="00604F1B">
        <w:rPr>
          <w:rFonts w:ascii="Arial Nova" w:hAnsi="Arial Nova"/>
        </w:rPr>
        <w:t>o których mowa w pkt 1 i 2;</w:t>
      </w:r>
    </w:p>
    <w:p w14:paraId="448F5244" w14:textId="77777777" w:rsidR="00E919B3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4) </w:t>
      </w:r>
      <w:r w:rsidR="00E919B3" w:rsidRPr="00604F1B">
        <w:rPr>
          <w:rFonts w:ascii="Arial Nova" w:hAnsi="Arial Nova"/>
        </w:rPr>
        <w:t xml:space="preserve">analizę skutków finansowych </w:t>
      </w:r>
      <w:r w:rsidR="00C911CA" w:rsidRPr="00604F1B">
        <w:rPr>
          <w:rFonts w:ascii="Arial Nova" w:hAnsi="Arial Nova"/>
        </w:rPr>
        <w:t>zmiany sposobu lub poziomu finansowania świadczeń opieki zdrowotnej.</w:t>
      </w:r>
    </w:p>
    <w:p w14:paraId="4953C196" w14:textId="77777777" w:rsidR="00C911CA" w:rsidRPr="00604F1B" w:rsidRDefault="00C911CA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2a. Raport w sprawie zmiany sposobu lub poziomu finansowania świadczeń opieki zdrowotnej, </w:t>
      </w:r>
      <w:r w:rsidR="00B50B71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>o którym mowa w ust. 1 pkt 2 zawiera w szczególności:</w:t>
      </w:r>
    </w:p>
    <w:p w14:paraId="2D366AE4" w14:textId="77777777" w:rsidR="00A77548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1) </w:t>
      </w:r>
      <w:r w:rsidR="00A77548" w:rsidRPr="00604F1B">
        <w:rPr>
          <w:rFonts w:ascii="Arial Nova" w:hAnsi="Arial Nova"/>
        </w:rPr>
        <w:t xml:space="preserve">sposób uwzględnienia w systemie finansowania świadczeń opieki zdrowotnej </w:t>
      </w:r>
      <w:r w:rsidR="00C911CA" w:rsidRPr="00604F1B">
        <w:rPr>
          <w:rFonts w:ascii="Arial Nova" w:hAnsi="Arial Nova"/>
        </w:rPr>
        <w:t xml:space="preserve">prognozowanej </w:t>
      </w:r>
      <w:r w:rsidR="00A77548" w:rsidRPr="00604F1B">
        <w:rPr>
          <w:rFonts w:ascii="Arial Nova" w:hAnsi="Arial Nova"/>
        </w:rPr>
        <w:t>zmiany kosztów udzielania tych świadczeń</w:t>
      </w:r>
      <w:r w:rsidR="00C911CA" w:rsidRPr="00604F1B">
        <w:rPr>
          <w:rFonts w:ascii="Arial Nova" w:hAnsi="Arial Nova"/>
        </w:rPr>
        <w:t xml:space="preserve"> </w:t>
      </w:r>
      <w:r w:rsidR="00A77548" w:rsidRPr="00604F1B">
        <w:rPr>
          <w:rFonts w:ascii="Arial Nova" w:hAnsi="Arial Nova"/>
        </w:rPr>
        <w:t>związanych ze wzrostem najniższego wynagrodzenia zasadniczego określonego przepisami ustawy z dnia 8 czerwca 2017 r. o sposobie ustalania najniższego wynagrodzenia zasadniczego niektórych pracowników zatrudnionych w podmiotach leczniczych;</w:t>
      </w:r>
    </w:p>
    <w:p w14:paraId="1BAF66AD" w14:textId="101B1909" w:rsidR="00E80951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2) </w:t>
      </w:r>
      <w:r w:rsidR="00E80951" w:rsidRPr="00604F1B">
        <w:rPr>
          <w:rFonts w:ascii="Arial Nova" w:hAnsi="Arial Nova"/>
        </w:rPr>
        <w:t>analizę wzrostu wskaźników cen towarów i usług, o których mowa w ust. 1</w:t>
      </w:r>
      <w:r w:rsidR="00D36617" w:rsidRPr="00604F1B">
        <w:rPr>
          <w:rFonts w:ascii="Arial Nova" w:hAnsi="Arial Nova"/>
        </w:rPr>
        <w:t>c</w:t>
      </w:r>
      <w:r w:rsidR="00E80951" w:rsidRPr="00604F1B">
        <w:rPr>
          <w:rFonts w:ascii="Arial Nova" w:hAnsi="Arial Nova"/>
        </w:rPr>
        <w:t xml:space="preserve"> pkt 12 i 15, ich wpływu na koszty udzielania świadczeń opieki zdrowotnej oraz sposób uwzględnienia </w:t>
      </w:r>
      <w:r w:rsidR="00B50B71" w:rsidRPr="00604F1B">
        <w:rPr>
          <w:rFonts w:ascii="Arial Nova" w:hAnsi="Arial Nova"/>
        </w:rPr>
        <w:br/>
      </w:r>
      <w:r w:rsidR="00E80951" w:rsidRPr="00604F1B">
        <w:rPr>
          <w:rFonts w:ascii="Arial Nova" w:hAnsi="Arial Nova"/>
        </w:rPr>
        <w:t xml:space="preserve">w systemie finansowania świadczeń opieki zdrowotnej wpływu prognozowanej zmiany kosztów udzielania świadczeń opieki zdrowotnej związanych ze wzrostem najniższego wynagrodzenia zasadniczego określonego przepisami ustawy z dnia 8 czerwca 2017 r. o sposobie ustalania najniższego wynagrodzenia zasadniczego niektórych pracowników zatrudnionych </w:t>
      </w:r>
      <w:r w:rsidR="005D5B32">
        <w:rPr>
          <w:rFonts w:ascii="Arial Nova" w:hAnsi="Arial Nova"/>
        </w:rPr>
        <w:br/>
      </w:r>
      <w:r w:rsidR="00E80951" w:rsidRPr="00604F1B">
        <w:rPr>
          <w:rFonts w:ascii="Arial Nova" w:hAnsi="Arial Nova"/>
        </w:rPr>
        <w:lastRenderedPageBreak/>
        <w:t>w podmiotach leczniczych na wzrost kosztów umów zleceń i dzieło oraz zakupu usług medycznych obcych</w:t>
      </w:r>
      <w:r w:rsidR="00BD002C" w:rsidRPr="00604F1B">
        <w:rPr>
          <w:rFonts w:ascii="Arial Nova" w:hAnsi="Arial Nova"/>
        </w:rPr>
        <w:t>;</w:t>
      </w:r>
    </w:p>
    <w:p w14:paraId="3302B704" w14:textId="6FEECF92" w:rsidR="00C911CA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3) </w:t>
      </w:r>
      <w:r w:rsidR="00C911CA" w:rsidRPr="00604F1B">
        <w:rPr>
          <w:rFonts w:ascii="Arial Nova" w:hAnsi="Arial Nova"/>
        </w:rPr>
        <w:t>sposób uwzględnienia w systemie finansowania świadczeń opieki zdrowotnej prognozowanej zmiany kosztów udzielania tych świadczeń związanych ze wzrostem wynagrodzenia pracowników podmiotów leczniczych, o których mowa w art. 5 ustawy z dnia 8 czerwca 2017 r. o sposobie ustalania najniższego wynagrodzenia zasadniczego niektórych pracowników zatrudnionych w podmiotach leczniczych;</w:t>
      </w:r>
    </w:p>
    <w:p w14:paraId="0A33E8D3" w14:textId="77777777" w:rsidR="00A94C65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4) </w:t>
      </w:r>
      <w:r w:rsidR="00C911CA" w:rsidRPr="00604F1B">
        <w:rPr>
          <w:rFonts w:ascii="Arial Nova" w:hAnsi="Arial Nova"/>
        </w:rPr>
        <w:t>analizę skutków finansowych zmiany sposobu lub poziomu finansowania świadczeń opieki zdrowotnej</w:t>
      </w:r>
      <w:r w:rsidR="00A77548" w:rsidRPr="00604F1B">
        <w:rPr>
          <w:rFonts w:ascii="Arial Nova" w:hAnsi="Arial Nova"/>
        </w:rPr>
        <w:t>.</w:t>
      </w:r>
      <w:bookmarkEnd w:id="0"/>
    </w:p>
    <w:p w14:paraId="0477AE5D" w14:textId="77777777" w:rsidR="00A94C65" w:rsidRPr="00604F1B" w:rsidRDefault="00C911CA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2b. Raport w sprawie zmiany sposobu lub poziomu finansowania świadczeń opieki zdrowotnej, </w:t>
      </w:r>
      <w:r w:rsidR="00B50B71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>o którym mowa w ust. 1 pkt 3 zawiera w szczególności:</w:t>
      </w:r>
    </w:p>
    <w:p w14:paraId="7E68D2BD" w14:textId="77777777" w:rsidR="0028288F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1) </w:t>
      </w:r>
      <w:r w:rsidR="0028288F" w:rsidRPr="00604F1B">
        <w:rPr>
          <w:rFonts w:ascii="Arial Nova" w:hAnsi="Arial Nova"/>
        </w:rPr>
        <w:t>analizę okoliczności mających wpływ na nadzwyczajny wzrost kosztów udzielania świadczeń opieki zdrowotnej</w:t>
      </w:r>
      <w:r w:rsidR="00BD002C" w:rsidRPr="00604F1B">
        <w:rPr>
          <w:rFonts w:ascii="Arial Nova" w:hAnsi="Arial Nova"/>
        </w:rPr>
        <w:t>;</w:t>
      </w:r>
    </w:p>
    <w:p w14:paraId="16699C44" w14:textId="77777777" w:rsidR="0028288F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2) s</w:t>
      </w:r>
      <w:r w:rsidR="0028288F" w:rsidRPr="00604F1B">
        <w:rPr>
          <w:rFonts w:ascii="Arial Nova" w:hAnsi="Arial Nova"/>
        </w:rPr>
        <w:t xml:space="preserve">posób uwzględnienia w systemie finansowania świadczeń opieki zdrowotnej okoliczności, </w:t>
      </w:r>
      <w:r w:rsidR="00B50B71" w:rsidRPr="00604F1B">
        <w:rPr>
          <w:rFonts w:ascii="Arial Nova" w:hAnsi="Arial Nova"/>
        </w:rPr>
        <w:br/>
      </w:r>
      <w:r w:rsidR="0028288F" w:rsidRPr="00604F1B">
        <w:rPr>
          <w:rFonts w:ascii="Arial Nova" w:hAnsi="Arial Nova"/>
        </w:rPr>
        <w:t>o których mowa w pkt 1</w:t>
      </w:r>
      <w:r w:rsidR="00BD002C" w:rsidRPr="00604F1B">
        <w:rPr>
          <w:rFonts w:ascii="Arial Nova" w:hAnsi="Arial Nova"/>
        </w:rPr>
        <w:t>;</w:t>
      </w:r>
    </w:p>
    <w:p w14:paraId="6C9C9D10" w14:textId="77777777" w:rsidR="00C911CA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3) </w:t>
      </w:r>
      <w:r w:rsidR="00C911CA" w:rsidRPr="00604F1B">
        <w:rPr>
          <w:rFonts w:ascii="Arial Nova" w:hAnsi="Arial Nova"/>
        </w:rPr>
        <w:t>analizę skutków finansowych zmiany sposobu lub poziomu finansowania świadczeń opieki zdrowotnej.</w:t>
      </w:r>
    </w:p>
    <w:p w14:paraId="4F427023" w14:textId="77777777" w:rsidR="00A77548" w:rsidRPr="00604F1B" w:rsidRDefault="00A77548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3. </w:t>
      </w:r>
      <w:r w:rsidR="0028288F" w:rsidRPr="00604F1B">
        <w:rPr>
          <w:rFonts w:ascii="Arial Nova" w:hAnsi="Arial Nova"/>
        </w:rPr>
        <w:t>(skreśla się)</w:t>
      </w:r>
    </w:p>
    <w:p w14:paraId="7B159F1D" w14:textId="7A9C26FD" w:rsidR="0028288F" w:rsidRPr="00604F1B" w:rsidRDefault="00A77548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4. Minister właściwy do spraw zdrowia po zapoznaniu się z raportem w sprawie zmiany sposobu lub poziomu finansowania świadczeń opieki zdrowotnej</w:t>
      </w:r>
      <w:r w:rsidR="00A94C65" w:rsidRPr="00604F1B">
        <w:rPr>
          <w:rFonts w:ascii="Arial Nova" w:hAnsi="Arial Nova"/>
        </w:rPr>
        <w:t xml:space="preserve">, </w:t>
      </w:r>
      <w:r w:rsidRPr="00604F1B">
        <w:rPr>
          <w:rFonts w:ascii="Arial Nova" w:hAnsi="Arial Nova"/>
        </w:rPr>
        <w:t>rekomendacją Prezesa Agencji</w:t>
      </w:r>
      <w:r w:rsidR="00A94C65" w:rsidRPr="00604F1B">
        <w:rPr>
          <w:rFonts w:ascii="Arial Nova" w:hAnsi="Arial Nova"/>
        </w:rPr>
        <w:t xml:space="preserve"> oraz uwagami, </w:t>
      </w:r>
      <w:r w:rsidR="00BE658E" w:rsidRPr="00604F1B">
        <w:rPr>
          <w:rFonts w:ascii="Arial Nova" w:hAnsi="Arial Nova"/>
        </w:rPr>
        <w:t xml:space="preserve">w terminie </w:t>
      </w:r>
      <w:r w:rsidR="002B06DF" w:rsidRPr="00604F1B">
        <w:rPr>
          <w:rFonts w:ascii="Arial Nova" w:hAnsi="Arial Nova"/>
        </w:rPr>
        <w:t>14</w:t>
      </w:r>
      <w:r w:rsidR="00BE658E" w:rsidRPr="00604F1B">
        <w:rPr>
          <w:rFonts w:ascii="Arial Nova" w:hAnsi="Arial Nova"/>
        </w:rPr>
        <w:t xml:space="preserve"> dni od dnia otrzymania </w:t>
      </w:r>
      <w:r w:rsidR="00A94C65" w:rsidRPr="00604F1B">
        <w:rPr>
          <w:rFonts w:ascii="Arial Nova" w:hAnsi="Arial Nova"/>
        </w:rPr>
        <w:t>tych dokumentów,</w:t>
      </w:r>
      <w:r w:rsidR="00BE658E" w:rsidRPr="00604F1B">
        <w:rPr>
          <w:rFonts w:ascii="Arial Nova" w:hAnsi="Arial Nova"/>
        </w:rPr>
        <w:t xml:space="preserve"> </w:t>
      </w:r>
      <w:r w:rsidRPr="00604F1B">
        <w:rPr>
          <w:rFonts w:ascii="Arial Nova" w:hAnsi="Arial Nova"/>
        </w:rPr>
        <w:t>zatwierdza</w:t>
      </w:r>
      <w:r w:rsidR="00D36617" w:rsidRPr="00604F1B">
        <w:rPr>
          <w:rFonts w:ascii="Arial Nova" w:hAnsi="Arial Nova"/>
        </w:rPr>
        <w:t xml:space="preserve"> </w:t>
      </w:r>
      <w:r w:rsidRPr="00604F1B">
        <w:rPr>
          <w:rFonts w:ascii="Arial Nova" w:hAnsi="Arial Nova"/>
        </w:rPr>
        <w:t xml:space="preserve">rekomendację oraz przekazuje ją Prezesowi Agencji w celu opublikowania, w formie obwieszczenia,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>w Biuletynie Informacji Publicznej Agencji lub wnosi do niej uwagi.</w:t>
      </w:r>
    </w:p>
    <w:p w14:paraId="07860D81" w14:textId="352A3CD3" w:rsidR="0028288F" w:rsidRPr="00604F1B" w:rsidRDefault="001344C1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3</w:t>
      </w:r>
      <w:r w:rsidR="00B61930" w:rsidRPr="00604F1B">
        <w:rPr>
          <w:rFonts w:ascii="Arial Nova" w:hAnsi="Arial Nova"/>
        </w:rPr>
        <w:t xml:space="preserve">) </w:t>
      </w:r>
      <w:r w:rsidR="0028288F" w:rsidRPr="00604F1B">
        <w:rPr>
          <w:rFonts w:ascii="Arial Nova" w:hAnsi="Arial Nova"/>
        </w:rPr>
        <w:t>Art. 31n pkt 2c otrzymuje brzmienie:</w:t>
      </w:r>
    </w:p>
    <w:p w14:paraId="3CC0CBFB" w14:textId="5390A501" w:rsidR="0028288F" w:rsidRPr="00604F1B" w:rsidRDefault="00E12BC4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„</w:t>
      </w:r>
      <w:r w:rsidR="0028288F" w:rsidRPr="00604F1B">
        <w:rPr>
          <w:rFonts w:ascii="Arial Nova" w:hAnsi="Arial Nova"/>
        </w:rPr>
        <w:t>2c) przygotowywanie raportu w sprawie zmiany sposobu lub poziomu finansowania świadczeń opieki zdrowotnej oraz wydawanie, w przypadkach określonych w ustawie lub na zlecenie ministra właściwego do spraw zdrowia</w:t>
      </w:r>
      <w:r w:rsidR="00BE658E" w:rsidRPr="00604F1B">
        <w:rPr>
          <w:rFonts w:ascii="Arial Nova" w:hAnsi="Arial Nova"/>
        </w:rPr>
        <w:t xml:space="preserve"> wydawane w związku z nadzwyczajnym wzrostem kosztów udzielania świadczeń opieki zdrowotnej</w:t>
      </w:r>
      <w:r w:rsidR="0028288F" w:rsidRPr="00604F1B">
        <w:rPr>
          <w:rFonts w:ascii="Arial Nova" w:hAnsi="Arial Nova"/>
        </w:rPr>
        <w:t xml:space="preserve">, rekomendacji Prezesa Agencji </w:t>
      </w:r>
      <w:r w:rsidR="005D5B32">
        <w:rPr>
          <w:rFonts w:ascii="Arial Nova" w:hAnsi="Arial Nova"/>
        </w:rPr>
        <w:br/>
      </w:r>
      <w:r w:rsidR="0028288F" w:rsidRPr="00604F1B">
        <w:rPr>
          <w:rFonts w:ascii="Arial Nova" w:hAnsi="Arial Nova"/>
        </w:rPr>
        <w:t>w zakresie zmiany sposobu lub poziomu finansowania świadczeń opieki zdrowotnej;</w:t>
      </w:r>
      <w:r w:rsidRPr="00604F1B">
        <w:rPr>
          <w:rFonts w:ascii="Arial Nova" w:hAnsi="Arial Nova"/>
        </w:rPr>
        <w:t>”</w:t>
      </w:r>
      <w:r w:rsidR="00611668" w:rsidRPr="00604F1B">
        <w:rPr>
          <w:rFonts w:ascii="Arial Nova" w:hAnsi="Arial Nova"/>
        </w:rPr>
        <w:t>.</w:t>
      </w:r>
    </w:p>
    <w:p w14:paraId="320BDF1B" w14:textId="3D952A23" w:rsidR="00604F1B" w:rsidRPr="00604F1B" w:rsidRDefault="00604F1B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Art. 2 Ustawa wchodzi w życie 1 stycznia 2024 r. </w:t>
      </w:r>
    </w:p>
    <w:p w14:paraId="4B5E25EA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p w14:paraId="75E151A7" w14:textId="77777777" w:rsidR="00B61930" w:rsidRPr="00604F1B" w:rsidRDefault="00B61930" w:rsidP="001344C1">
      <w:pPr>
        <w:jc w:val="both"/>
        <w:rPr>
          <w:rFonts w:ascii="Arial Nova" w:hAnsi="Arial Nova"/>
          <w:b/>
        </w:rPr>
      </w:pPr>
      <w:r w:rsidRPr="00604F1B">
        <w:rPr>
          <w:rFonts w:ascii="Arial Nova" w:hAnsi="Arial Nova"/>
        </w:rPr>
        <w:br w:type="page"/>
      </w:r>
      <w:r w:rsidRPr="00604F1B">
        <w:rPr>
          <w:rFonts w:ascii="Arial Nova" w:hAnsi="Arial Nova"/>
          <w:b/>
        </w:rPr>
        <w:lastRenderedPageBreak/>
        <w:t>Uzasadnienie</w:t>
      </w:r>
    </w:p>
    <w:p w14:paraId="60067717" w14:textId="20435419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Celem projektowanej zmiany jest wprowadzenie w ustawie z dnia 27 sierpnia 2004 r. </w:t>
      </w:r>
      <w:r w:rsidR="00875018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>o świadczeniach opieki zdrowotnej finansowa</w:t>
      </w:r>
      <w:r w:rsidR="001A5B14" w:rsidRPr="00604F1B">
        <w:rPr>
          <w:rFonts w:ascii="Arial Nova" w:hAnsi="Arial Nova"/>
        </w:rPr>
        <w:t>nych</w:t>
      </w:r>
      <w:r w:rsidRPr="00604F1B">
        <w:rPr>
          <w:rFonts w:ascii="Arial Nova" w:hAnsi="Arial Nova"/>
        </w:rPr>
        <w:t xml:space="preserve"> ze środków publicznych mechanizmu pośredniej waloryzacji wysokości wynagrodzenia jakie otrzymują świadczeniodawcy udzielający świadczeń opieki zdrowotnej</w:t>
      </w:r>
      <w:r w:rsidR="00A71CE0" w:rsidRPr="00604F1B">
        <w:rPr>
          <w:rFonts w:ascii="Arial Nova" w:hAnsi="Arial Nova"/>
        </w:rPr>
        <w:t xml:space="preserve"> oraz umożliwienie reprezentatywnym organizacjom świadczeniodawców składanie do Ministra Zdrowia wniosków w sprawie dokonania zmiany poziomu lub sposobu finansowania lub warunków realizacji świadczenia gwarantowanego.</w:t>
      </w:r>
    </w:p>
    <w:p w14:paraId="73139E45" w14:textId="77777777" w:rsidR="00B61930" w:rsidRPr="00604F1B" w:rsidRDefault="00B61930" w:rsidP="001344C1">
      <w:pPr>
        <w:jc w:val="both"/>
        <w:rPr>
          <w:rFonts w:ascii="Arial Nova" w:hAnsi="Arial Nova"/>
          <w:b/>
        </w:rPr>
      </w:pPr>
      <w:r w:rsidRPr="00604F1B">
        <w:rPr>
          <w:rFonts w:ascii="Arial Nova" w:hAnsi="Arial Nova"/>
          <w:b/>
        </w:rPr>
        <w:t xml:space="preserve">Stan aktualny </w:t>
      </w:r>
    </w:p>
    <w:p w14:paraId="52ABB301" w14:textId="6F17032F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Obecnie w ustawie o świadczeniach opieki zdrowotnej finansowanych ze środków publicznych (dalej </w:t>
      </w:r>
      <w:proofErr w:type="spellStart"/>
      <w:r w:rsidRPr="00604F1B">
        <w:rPr>
          <w:rFonts w:ascii="Arial Nova" w:hAnsi="Arial Nova"/>
        </w:rPr>
        <w:t>u.ś.o.z</w:t>
      </w:r>
      <w:proofErr w:type="spellEnd"/>
      <w:r w:rsidRPr="00604F1B">
        <w:rPr>
          <w:rFonts w:ascii="Arial Nova" w:hAnsi="Arial Nova"/>
        </w:rPr>
        <w:t>.) brakuje instrumentu, który obligowałby podmioty odpowiedzialne za finansowanie świadczeń opieki zdrowotnej ze środków publicznych (minister właściwy do spraw zdrowia</w:t>
      </w:r>
      <w:r w:rsidR="001A5B14" w:rsidRPr="00604F1B">
        <w:rPr>
          <w:rFonts w:ascii="Arial Nova" w:hAnsi="Arial Nova"/>
        </w:rPr>
        <w:t>, Narodowy Funduszu Zdrowia</w:t>
      </w:r>
      <w:r w:rsidRPr="00604F1B">
        <w:rPr>
          <w:rFonts w:ascii="Arial Nova" w:hAnsi="Arial Nova"/>
        </w:rPr>
        <w:t xml:space="preserve">) oraz określanie i zmianę poziomu lub sposobu finansowania świadczeń gwarantowanych (Agencja Oceny Technologii Medycznych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i Taryfikacji dalej </w:t>
      </w:r>
      <w:proofErr w:type="spellStart"/>
      <w:r w:rsidRPr="00604F1B">
        <w:rPr>
          <w:rFonts w:ascii="Arial Nova" w:hAnsi="Arial Nova"/>
        </w:rPr>
        <w:t>AOTMiT</w:t>
      </w:r>
      <w:proofErr w:type="spellEnd"/>
      <w:r w:rsidRPr="00604F1B">
        <w:rPr>
          <w:rFonts w:ascii="Arial Nova" w:hAnsi="Arial Nova"/>
        </w:rPr>
        <w:t xml:space="preserve">) </w:t>
      </w:r>
      <w:r w:rsidR="001A5B14" w:rsidRPr="00604F1B">
        <w:rPr>
          <w:rFonts w:ascii="Arial Nova" w:hAnsi="Arial Nova"/>
        </w:rPr>
        <w:t xml:space="preserve">do </w:t>
      </w:r>
      <w:r w:rsidRPr="00604F1B">
        <w:rPr>
          <w:rFonts w:ascii="Arial Nova" w:hAnsi="Arial Nova"/>
        </w:rPr>
        <w:t xml:space="preserve">podjęcia działań zmierzających do dostosowania wysokości cen świadczeń opieki zdrowotnej do rosnących kosztów ich udzielania, wynikających z czynników makroekonomicznych. </w:t>
      </w:r>
    </w:p>
    <w:p w14:paraId="1FFF039C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Daleko niedoskonałą namiastkę takiej regulacji stanowi art. 31ha </w:t>
      </w:r>
      <w:proofErr w:type="spellStart"/>
      <w:r w:rsidRPr="00604F1B">
        <w:rPr>
          <w:rFonts w:ascii="Arial Nova" w:hAnsi="Arial Nova"/>
        </w:rPr>
        <w:t>u.ś.o.z</w:t>
      </w:r>
      <w:proofErr w:type="spellEnd"/>
      <w:r w:rsidRPr="00604F1B">
        <w:rPr>
          <w:rFonts w:ascii="Arial Nova" w:hAnsi="Arial Nova"/>
        </w:rPr>
        <w:t xml:space="preserve">., wprowadzony ustawą </w:t>
      </w:r>
      <w:r w:rsidR="00875018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z dnia 26 maja 2022 r. o zmianie ustawy o sposobie ustalania najniższego wynagrodzenia zasadniczego niektórych pracowników zatrudnionych w podmiotach leczniczych oraz niektórych innych ustaw (Dz.U.2022 poz. 1352), który wszedł w życie 29 czerwca 2022 r. </w:t>
      </w:r>
    </w:p>
    <w:p w14:paraId="153A2DC6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Zgodnie z art. 31ha ust. 1 </w:t>
      </w:r>
      <w:proofErr w:type="spellStart"/>
      <w:r w:rsidRPr="00604F1B">
        <w:rPr>
          <w:rFonts w:ascii="Arial Nova" w:hAnsi="Arial Nova"/>
        </w:rPr>
        <w:t>u.ś.o.z</w:t>
      </w:r>
      <w:proofErr w:type="spellEnd"/>
      <w:r w:rsidRPr="00604F1B">
        <w:rPr>
          <w:rFonts w:ascii="Arial Nova" w:hAnsi="Arial Nova"/>
        </w:rPr>
        <w:t xml:space="preserve">., Prezes AOTMiT po otrzymaniu zlecenia ministra właściwego do spraw zdrowia dokonuje analizy dotyczącej zmiany sposobu lub poziomu finansowania świadczeń opieki zdrowotnej w związku z nadzwyczajnym wzrostem kosztów udzielania tych świadczeń oraz przygotowuje raport w sprawie zmiany sposobu lub poziomu finansowania świadczeń opieki zdrowotnej i wydaje rekomendację. </w:t>
      </w:r>
    </w:p>
    <w:p w14:paraId="73FABDF3" w14:textId="77777777" w:rsidR="001A5B14" w:rsidRPr="00604F1B" w:rsidRDefault="001A5B14" w:rsidP="00B50B71">
      <w:pPr>
        <w:pStyle w:val="pf0"/>
        <w:jc w:val="both"/>
        <w:rPr>
          <w:rFonts w:ascii="Arial Nova" w:hAnsi="Arial Nova" w:cs="Arial"/>
          <w:sz w:val="22"/>
          <w:szCs w:val="22"/>
        </w:rPr>
      </w:pPr>
      <w:r w:rsidRPr="00604F1B">
        <w:rPr>
          <w:rStyle w:val="cf01"/>
          <w:rFonts w:ascii="Arial Nova" w:hAnsi="Arial Nova"/>
          <w:sz w:val="22"/>
          <w:szCs w:val="22"/>
        </w:rPr>
        <w:t xml:space="preserve">Przywołana regulacja po raz pierwszy miała zastosowanie przy zmianie wyceny świadczeń związanej z podwyżką wynagrodzeń w sektorze ochrony zdrowia od 1 lipca 2023 r., niemniej jednak </w:t>
      </w:r>
      <w:r w:rsidR="005E0439" w:rsidRPr="00604F1B">
        <w:rPr>
          <w:rStyle w:val="cf01"/>
          <w:rFonts w:ascii="Arial Nova" w:hAnsi="Arial Nova"/>
          <w:bCs/>
          <w:sz w:val="22"/>
          <w:szCs w:val="22"/>
        </w:rPr>
        <w:t>zauważalnych jest szereg</w:t>
      </w:r>
      <w:r w:rsidRPr="00604F1B">
        <w:rPr>
          <w:rStyle w:val="cf01"/>
          <w:rFonts w:ascii="Arial Nova" w:hAnsi="Arial Nova"/>
          <w:bCs/>
          <w:sz w:val="22"/>
          <w:szCs w:val="22"/>
        </w:rPr>
        <w:t xml:space="preserve"> problemów związanych ze stosowaniem tych przepisów</w:t>
      </w:r>
      <w:r w:rsidRPr="00604F1B">
        <w:rPr>
          <w:rStyle w:val="cf01"/>
          <w:rFonts w:ascii="Arial Nova" w:hAnsi="Arial Nova"/>
          <w:sz w:val="22"/>
          <w:szCs w:val="22"/>
        </w:rPr>
        <w:t>. Do najważniejszych należą:</w:t>
      </w:r>
    </w:p>
    <w:p w14:paraId="7555F5E1" w14:textId="306C27DF" w:rsidR="001A5B14" w:rsidRPr="00604F1B" w:rsidRDefault="001A5B14" w:rsidP="00B50B71">
      <w:pPr>
        <w:pStyle w:val="pf0"/>
        <w:numPr>
          <w:ilvl w:val="0"/>
          <w:numId w:val="5"/>
        </w:numPr>
        <w:ind w:left="284"/>
        <w:jc w:val="both"/>
        <w:rPr>
          <w:rStyle w:val="cf01"/>
          <w:rFonts w:ascii="Arial Nova" w:hAnsi="Arial Nova"/>
          <w:sz w:val="22"/>
          <w:szCs w:val="22"/>
        </w:rPr>
      </w:pPr>
      <w:r w:rsidRPr="00604F1B">
        <w:rPr>
          <w:rStyle w:val="cf01"/>
          <w:rFonts w:ascii="Arial Nova" w:hAnsi="Arial Nova"/>
          <w:sz w:val="22"/>
          <w:szCs w:val="22"/>
        </w:rPr>
        <w:t xml:space="preserve">możliwość zastosowania regulacji jedynie w związku z nadzwyczajnym wzrostem kosztów udzielania świadczeń opieki zdrowotnej, gdy tymczasem mechanizm podwyżkowy przewidziany w ustawie o sposobie ustalania najniższego wynagrodzenia zasadniczego niektórych pracowników zatrudnionych w podmiotach leczniczych został wprowadzony na stałe do systemu prawnego i skutkuje automatycznym, przewidywalnym, corocznym wzrostem kosztów funkcjonowania podmiotów leczniczych, a z uwagi na jego automatyzm </w:t>
      </w:r>
      <w:r w:rsidR="00875018" w:rsidRPr="00604F1B">
        <w:rPr>
          <w:rStyle w:val="cf01"/>
          <w:rFonts w:ascii="Arial Nova" w:hAnsi="Arial Nova"/>
          <w:sz w:val="22"/>
          <w:szCs w:val="22"/>
        </w:rPr>
        <w:br/>
      </w:r>
      <w:r w:rsidRPr="00604F1B">
        <w:rPr>
          <w:rStyle w:val="cf01"/>
          <w:rFonts w:ascii="Arial Nova" w:hAnsi="Arial Nova"/>
          <w:sz w:val="22"/>
          <w:szCs w:val="22"/>
        </w:rPr>
        <w:t>w stosunku do świadczeniodawców powinien w podobny sposób działać w odniesieniu do podmiotów odpowiedzialnych za zapewnienie środków na finansowanie świadczeń opieki zdrowotnej;</w:t>
      </w:r>
    </w:p>
    <w:p w14:paraId="7DC6BA70" w14:textId="77777777" w:rsidR="001A5B14" w:rsidRPr="00604F1B" w:rsidRDefault="001A5B14" w:rsidP="00B50B71">
      <w:pPr>
        <w:pStyle w:val="pf0"/>
        <w:numPr>
          <w:ilvl w:val="0"/>
          <w:numId w:val="5"/>
        </w:numPr>
        <w:ind w:left="284"/>
        <w:jc w:val="both"/>
        <w:rPr>
          <w:rStyle w:val="cf01"/>
          <w:rFonts w:ascii="Arial Nova" w:hAnsi="Arial Nova"/>
          <w:sz w:val="22"/>
          <w:szCs w:val="22"/>
        </w:rPr>
      </w:pPr>
      <w:r w:rsidRPr="00604F1B">
        <w:rPr>
          <w:rStyle w:val="cf01"/>
          <w:rFonts w:ascii="Arial Nova" w:hAnsi="Arial Nova"/>
          <w:sz w:val="22"/>
          <w:szCs w:val="22"/>
        </w:rPr>
        <w:t>brak mechanizmu zobowiązującego ministra właściwego do spraw zdrowia do zlecenia wyceny w przypadku wzrostu kosztów udzielania świadczeń opieki zdrowotnej wynikających z czynnika inflacyjnego;</w:t>
      </w:r>
    </w:p>
    <w:p w14:paraId="4BEB44B6" w14:textId="77777777" w:rsidR="001A5B14" w:rsidRPr="00604F1B" w:rsidRDefault="001A5B14" w:rsidP="00875018">
      <w:pPr>
        <w:pStyle w:val="pf0"/>
        <w:numPr>
          <w:ilvl w:val="0"/>
          <w:numId w:val="5"/>
        </w:numPr>
        <w:ind w:left="284"/>
        <w:jc w:val="both"/>
        <w:rPr>
          <w:rStyle w:val="cf01"/>
          <w:rFonts w:ascii="Arial Nova" w:hAnsi="Arial Nova"/>
          <w:sz w:val="22"/>
          <w:szCs w:val="22"/>
        </w:rPr>
      </w:pPr>
      <w:r w:rsidRPr="00604F1B">
        <w:rPr>
          <w:rStyle w:val="cf01"/>
          <w:rFonts w:ascii="Arial Nova" w:hAnsi="Arial Nova"/>
          <w:sz w:val="22"/>
          <w:szCs w:val="22"/>
        </w:rPr>
        <w:t xml:space="preserve">brak określenia ścisłych terminów </w:t>
      </w:r>
      <w:r w:rsidRPr="00604F1B">
        <w:rPr>
          <w:rFonts w:ascii="Arial Nova" w:hAnsi="Arial Nova" w:cs="Cambria"/>
          <w:sz w:val="22"/>
          <w:szCs w:val="22"/>
        </w:rPr>
        <w:t>na podjęcie kolejnych czynności związanych ze zmianą sposobu lub zakresu finansowania świadczeń opieki zdrowotnej wynikających ze zwyczajnego, corocznego, przewidywalnego wzrostu kosztów realizacji świadczeń, co utrudnia przygotowanie planu pracy AOTMiT w kolejnych latach;</w:t>
      </w:r>
    </w:p>
    <w:p w14:paraId="1BB7D4DC" w14:textId="77777777" w:rsidR="001A5B14" w:rsidRPr="00604F1B" w:rsidRDefault="001A5B14" w:rsidP="00875018">
      <w:pPr>
        <w:pStyle w:val="pf0"/>
        <w:numPr>
          <w:ilvl w:val="0"/>
          <w:numId w:val="5"/>
        </w:numPr>
        <w:ind w:left="284"/>
        <w:jc w:val="both"/>
        <w:rPr>
          <w:rFonts w:ascii="Arial Nova" w:hAnsi="Arial Nova" w:cs="Segoe UI"/>
          <w:sz w:val="22"/>
          <w:szCs w:val="22"/>
        </w:rPr>
      </w:pPr>
      <w:r w:rsidRPr="00604F1B">
        <w:rPr>
          <w:rStyle w:val="cf01"/>
          <w:rFonts w:ascii="Arial Nova" w:hAnsi="Arial Nova"/>
          <w:sz w:val="22"/>
          <w:szCs w:val="22"/>
        </w:rPr>
        <w:lastRenderedPageBreak/>
        <w:t xml:space="preserve">brak przepisów obligujących AOTMiT do upublicznienia </w:t>
      </w:r>
      <w:r w:rsidRPr="00604F1B">
        <w:rPr>
          <w:rFonts w:ascii="Arial Nova" w:hAnsi="Arial Nova" w:cs="Cambria"/>
          <w:sz w:val="22"/>
          <w:szCs w:val="22"/>
        </w:rPr>
        <w:t>raportu i rekomendacji na etapie przed przekazaniem tych dokumentów do ministra właściwego do spraw zdrowia;</w:t>
      </w:r>
    </w:p>
    <w:p w14:paraId="766DAE1F" w14:textId="77777777" w:rsidR="001A5B14" w:rsidRPr="00604F1B" w:rsidRDefault="001A5B14" w:rsidP="00875018">
      <w:pPr>
        <w:pStyle w:val="pf0"/>
        <w:numPr>
          <w:ilvl w:val="0"/>
          <w:numId w:val="5"/>
        </w:numPr>
        <w:ind w:left="284"/>
        <w:jc w:val="both"/>
        <w:rPr>
          <w:rStyle w:val="cf01"/>
          <w:rFonts w:ascii="Arial Nova" w:hAnsi="Arial Nova"/>
          <w:sz w:val="22"/>
          <w:szCs w:val="22"/>
        </w:rPr>
      </w:pPr>
      <w:r w:rsidRPr="00604F1B">
        <w:rPr>
          <w:rStyle w:val="cf01"/>
          <w:rFonts w:ascii="Arial Nova" w:hAnsi="Arial Nova"/>
          <w:sz w:val="22"/>
          <w:szCs w:val="22"/>
        </w:rPr>
        <w:t>brak zapewnienia udziału partnerów społecznych, w szczególności podmiotów reprezentujących świadczeniodawców, w formie konsultacji publicznych dokumentów opracowanych przez AOTMiT;</w:t>
      </w:r>
    </w:p>
    <w:p w14:paraId="68BDCFEC" w14:textId="77777777" w:rsidR="005E0439" w:rsidRPr="00604F1B" w:rsidRDefault="001A5B14" w:rsidP="00875018">
      <w:pPr>
        <w:pStyle w:val="NormalnyWeb"/>
        <w:numPr>
          <w:ilvl w:val="0"/>
          <w:numId w:val="5"/>
        </w:numPr>
        <w:ind w:left="284"/>
        <w:jc w:val="both"/>
        <w:rPr>
          <w:rStyle w:val="cf01"/>
          <w:rFonts w:ascii="Arial Nova" w:hAnsi="Arial Nova"/>
          <w:sz w:val="22"/>
          <w:szCs w:val="22"/>
        </w:rPr>
      </w:pPr>
      <w:r w:rsidRPr="00604F1B">
        <w:rPr>
          <w:rStyle w:val="cf01"/>
          <w:rFonts w:ascii="Arial Nova" w:hAnsi="Arial Nova"/>
          <w:sz w:val="22"/>
          <w:szCs w:val="22"/>
        </w:rPr>
        <w:t xml:space="preserve">uzależnienie wysokości zmiany w zakresie finansowania świadczeń opieki zdrowotnej od sytuacji finansowej Narodowego Funduszu Zdrowia. </w:t>
      </w:r>
    </w:p>
    <w:p w14:paraId="54DE89E4" w14:textId="77777777" w:rsidR="00B61930" w:rsidRPr="00604F1B" w:rsidRDefault="005E0439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Obecnie u</w:t>
      </w:r>
      <w:r w:rsidR="00B61930" w:rsidRPr="00604F1B">
        <w:rPr>
          <w:rFonts w:ascii="Arial Nova" w:hAnsi="Arial Nova"/>
        </w:rPr>
        <w:t>stawodawca nie daje świadczeniodawcom żadnej gwarancji, że za wzrostem kosztów udzielania świadczeń opieki zdrowotnej pójdzie zwiększenie środków na pokrycie tego wzrostu. Z drugiej strony ten sam ustawodawca nakłada na świadczeniodawców obowiązki, które mają bezpośredni wpływ na wzrost kosztów udzielania świadczeń opieki zdrowotnej. Do regulacji tych można zaliczyć</w:t>
      </w:r>
      <w:r w:rsidR="00875018" w:rsidRPr="00604F1B">
        <w:rPr>
          <w:rFonts w:ascii="Arial Nova" w:hAnsi="Arial Nova"/>
        </w:rPr>
        <w:t xml:space="preserve"> w</w:t>
      </w:r>
      <w:r w:rsidR="00B61930" w:rsidRPr="00604F1B">
        <w:rPr>
          <w:rFonts w:ascii="Arial Nova" w:hAnsi="Arial Nova"/>
        </w:rPr>
        <w:t xml:space="preserve"> szczególności:</w:t>
      </w:r>
    </w:p>
    <w:p w14:paraId="785CE503" w14:textId="77777777" w:rsidR="00B61930" w:rsidRPr="00604F1B" w:rsidRDefault="00B61930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1) ustawę z dnia 8 czerwca 2017 r. o sposobie ustalania najniższego wynagrodzenia zasadniczego niektórych pracowników zatrudnionych w podmiotach leczniczych;</w:t>
      </w:r>
    </w:p>
    <w:p w14:paraId="1ECAA797" w14:textId="77777777" w:rsidR="00B61930" w:rsidRPr="00604F1B" w:rsidRDefault="00B61930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2) ustawę z dnia 10 października 2002 r. o minimalnym wynagrodzeniu za pracę;</w:t>
      </w:r>
    </w:p>
    <w:p w14:paraId="5F8C1D4D" w14:textId="5C7E5BC7" w:rsidR="00B61930" w:rsidRPr="00604F1B" w:rsidRDefault="00B61930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3) art. 439 Prawa zamówień publicznych, nakładający na zamawiających obowiązek </w:t>
      </w:r>
      <w:r w:rsidR="005E0439" w:rsidRPr="00604F1B">
        <w:rPr>
          <w:rFonts w:ascii="Arial Nova" w:hAnsi="Arial Nova"/>
        </w:rPr>
        <w:t>uwzględnienia</w:t>
      </w:r>
      <w:r w:rsidRPr="00604F1B">
        <w:rPr>
          <w:rFonts w:ascii="Arial Nova" w:hAnsi="Arial Nova"/>
        </w:rPr>
        <w:t xml:space="preserve"> w umowach na roboty budowlane, dostawy lub usługi, zawar</w:t>
      </w:r>
      <w:r w:rsidR="005E0439" w:rsidRPr="00604F1B">
        <w:rPr>
          <w:rFonts w:ascii="Arial Nova" w:hAnsi="Arial Nova"/>
        </w:rPr>
        <w:t>tych</w:t>
      </w:r>
      <w:r w:rsidRPr="00604F1B">
        <w:rPr>
          <w:rFonts w:ascii="Arial Nova" w:hAnsi="Arial Nova"/>
        </w:rPr>
        <w:t xml:space="preserve"> na okres dłuższy niż 6 miesięcy, postanowień dotyczących zasad wprowadzania zmian wysokości wynagrodzenia należnego wykonawcy w przypadku zmiany ceny materiałów lub kosztów związanych z realizacją zamówienia</w:t>
      </w:r>
      <w:r w:rsidR="005E0439" w:rsidRPr="00604F1B">
        <w:rPr>
          <w:rFonts w:ascii="Arial Nova" w:hAnsi="Arial Nova"/>
        </w:rPr>
        <w:t>. O</w:t>
      </w:r>
      <w:r w:rsidRPr="00604F1B">
        <w:rPr>
          <w:rFonts w:ascii="Arial Nova" w:hAnsi="Arial Nova"/>
        </w:rPr>
        <w:t>becne brzmienie przepisu zostało ustalone ustawą z dnia 7 października 2022 r. o zmianie niektórych ustaw w celu uproszczenia procedur administracyjnych dla obywateli i przedsiębiorców, na niekorzyść zamawiających</w:t>
      </w:r>
      <w:r w:rsidR="005E0439" w:rsidRPr="00604F1B">
        <w:rPr>
          <w:rFonts w:ascii="Arial Nova" w:hAnsi="Arial Nova"/>
        </w:rPr>
        <w:t>. Ponieważ umowy zawarte pomiędzy świadczeniodawcami a NFZ wyłączone są spod reżimu Prawa Zamówień Publicznych, świadczeniodawcy są zobowiązaniu do stosowania art. 439 względem swoich kontrahentów, ale nie korzystają z dobrodziejstwa tego przepisu jako wykonawcy umów zawartych z płatnikiem;</w:t>
      </w:r>
    </w:p>
    <w:p w14:paraId="1D4CFDD3" w14:textId="77777777" w:rsidR="00B61930" w:rsidRPr="00604F1B" w:rsidRDefault="00B61930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4) ustawę z dnia 8 marca 2013 r. o przeciwdziałaniu nadmiernym opóźnieniom w transakcjach handlowych;</w:t>
      </w:r>
    </w:p>
    <w:p w14:paraId="2DB23BE1" w14:textId="77777777" w:rsidR="00A71CE0" w:rsidRPr="00604F1B" w:rsidRDefault="005E0439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5</w:t>
      </w:r>
      <w:r w:rsidR="00B61930" w:rsidRPr="00604F1B">
        <w:rPr>
          <w:rFonts w:ascii="Arial Nova" w:hAnsi="Arial Nova"/>
        </w:rPr>
        <w:t xml:space="preserve">) ustawy podatkowe. </w:t>
      </w:r>
    </w:p>
    <w:p w14:paraId="29AFF15E" w14:textId="4FF1FFE7" w:rsidR="00A71CE0" w:rsidRPr="00604F1B" w:rsidRDefault="00A71CE0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Prowadzenie działalności leczniczej stanowi prowadzenie działalności gospodarczej. Nawet </w:t>
      </w:r>
      <w:r w:rsidR="00875018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>w przypadku samodzielnych publicznych zakładów opieki zdrowotnej, które nie są przedsiębiorcami</w:t>
      </w:r>
      <w:r w:rsidR="001344C1" w:rsidRPr="00604F1B">
        <w:rPr>
          <w:rFonts w:ascii="Arial Nova" w:hAnsi="Arial Nova"/>
        </w:rPr>
        <w:t xml:space="preserve">, </w:t>
      </w:r>
      <w:r w:rsidRPr="00604F1B">
        <w:rPr>
          <w:rFonts w:ascii="Arial Nova" w:hAnsi="Arial Nova"/>
        </w:rPr>
        <w:t xml:space="preserve">ustawodawca przesądził, że powinny one działać w oparciu o zasadę samofinansowania (tzn. pokrywać z posiadanych środków i uzyskiwanych przychodów koszty działalności i regulować zobowiązania). Zatem ten sam ustawodawca powinien gwarantować istnienie mechanizmu dostosowującego wysokość przychodów do rosnących kosztów. </w:t>
      </w:r>
    </w:p>
    <w:p w14:paraId="5DCB79B0" w14:textId="77777777" w:rsidR="00B61930" w:rsidRPr="00604F1B" w:rsidRDefault="00B61930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W uzasadnieniu do wyroku Trybunału Konstytucyjnego z 20 listopada 2019 r. sygn. K 4/17 wskazano, że koszt udzielania świadczeń stale wzrasta na skutek wprowadzania nowych regulacji, głównie podnoszących wynagrodzenie personelu medycznego i poprawy jakości opieki zdrowotnej. Akty prawne wprowadzające te zmiany nie zawierają oszacowania kosztów ich wdrożenia i – w konsekwencji – nie pociągają za sobą odpowiedniej weryfikacji kontraktów wiążących NFZ ze świadczeniodawcami. Dalej Trybunał wskazał, że ciągłe i powszechne narastanie zadłużenia samodzielnych publicznych zakładów opieki zdrowotnej, nie jest jedynie skutkiem nieudolności, braku profesjonalizmu czy należytej staranności po stronie osób </w:t>
      </w:r>
      <w:r w:rsidRPr="00604F1B">
        <w:rPr>
          <w:rFonts w:ascii="Arial Nova" w:hAnsi="Arial Nova"/>
        </w:rPr>
        <w:lastRenderedPageBreak/>
        <w:t>zarządzających tymi zakładami i nadzorującymi je, lecz ma także przyczyny obiektywne, zewnętrzne, świadczące o wadach mechanizmu finansowania.</w:t>
      </w:r>
    </w:p>
    <w:p w14:paraId="62084D45" w14:textId="77777777" w:rsidR="00B61930" w:rsidRPr="00604F1B" w:rsidRDefault="00B61930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W art. 131c </w:t>
      </w:r>
      <w:proofErr w:type="spellStart"/>
      <w:r w:rsidRPr="00604F1B">
        <w:rPr>
          <w:rFonts w:ascii="Arial Nova" w:hAnsi="Arial Nova"/>
        </w:rPr>
        <w:t>u.ś.o.z</w:t>
      </w:r>
      <w:proofErr w:type="spellEnd"/>
      <w:r w:rsidRPr="00604F1B">
        <w:rPr>
          <w:rFonts w:ascii="Arial Nova" w:hAnsi="Arial Nova"/>
        </w:rPr>
        <w:t xml:space="preserve">. przewidziano co prawda mechanizm nakładający obowiązek przekazania na finansowanie ochrony zdrowia środków finansowych w wysokości nie niższej niż 7% produktu krajowego brutto od 2027 r. z mechanizmem stopniowego dochodzenia do tego poziomu, jednak wskaźnik ten jest ustalany w oparciu o wysokość PKB za dwa lata wstecz, co oznacza, że nie uwzględnia aktualnej sytuacji ekonomicznej. </w:t>
      </w:r>
    </w:p>
    <w:p w14:paraId="73894554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Publiczne nakłady na ochronę zdrowia w Polsce, zarówno w stosunku do PKB, w ujęciu nominalnym jak również przy uwzględnieniu siły nabywczej pieniądza są jednym z najniższych wśród europejskich państw będących członkami OECD. Według dostępnych danych, w Polsce nie przekraczają one 5% PKB (zgodnie z wadliwą metodologią z art. 131c </w:t>
      </w:r>
      <w:proofErr w:type="spellStart"/>
      <w:r w:rsidRPr="00604F1B">
        <w:rPr>
          <w:rFonts w:ascii="Arial Nova" w:hAnsi="Arial Nova"/>
        </w:rPr>
        <w:t>u.ś.o.z</w:t>
      </w:r>
      <w:proofErr w:type="spellEnd"/>
      <w:r w:rsidRPr="00604F1B">
        <w:rPr>
          <w:rFonts w:ascii="Arial Nova" w:hAnsi="Arial Nova"/>
        </w:rPr>
        <w:t xml:space="preserve">. w 2021 r. powinny one wynieść 5,30% PKB). </w:t>
      </w:r>
    </w:p>
    <w:p w14:paraId="74358B9E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p w14:paraId="453A2003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  <w:noProof/>
        </w:rPr>
        <w:drawing>
          <wp:anchor distT="0" distB="0" distL="114300" distR="114300" simplePos="0" relativeHeight="251659264" behindDoc="0" locked="0" layoutInCell="1" allowOverlap="1" wp14:anchorId="1438F594" wp14:editId="6831DF64">
            <wp:simplePos x="898264" y="898264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0" b="0"/>
            <wp:wrapSquare wrapText="bothSides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A3D96E6-CFB9-4728-9F3E-EB4983CDAC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61EAF76B" w14:textId="77777777" w:rsidR="00B61930" w:rsidRPr="00604F1B" w:rsidRDefault="00B61930" w:rsidP="001344C1">
      <w:pPr>
        <w:tabs>
          <w:tab w:val="left" w:pos="1626"/>
        </w:tabs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ab/>
      </w:r>
    </w:p>
    <w:p w14:paraId="6248326F" w14:textId="404258D9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br w:type="textWrapping" w:clear="all"/>
        <w:t xml:space="preserve">Źródło: opracowano na podstawie </w:t>
      </w:r>
      <w:hyperlink r:id="rId10" w:history="1">
        <w:r w:rsidRPr="00604F1B">
          <w:rPr>
            <w:rStyle w:val="Hipercze"/>
            <w:rFonts w:ascii="Arial Nova" w:hAnsi="Arial Nova"/>
          </w:rPr>
          <w:t>https://stats.oecd.org/</w:t>
        </w:r>
      </w:hyperlink>
    </w:p>
    <w:p w14:paraId="06C3A8A4" w14:textId="77777777" w:rsidR="00086A72" w:rsidRPr="00604F1B" w:rsidRDefault="00086A72" w:rsidP="00B50B71">
      <w:pPr>
        <w:jc w:val="both"/>
        <w:rPr>
          <w:rFonts w:ascii="Arial Nova" w:hAnsi="Arial Nova"/>
        </w:rPr>
      </w:pPr>
    </w:p>
    <w:p w14:paraId="1B2946AA" w14:textId="60E20A86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Dla porównania, w 2021 r. publiczne nakłady na ochronę zdrowia w Austrii wyniosły 9,6% PKB, w Danii 9,3% PKB, w Estonii 5,9% PKB, w Niemczech 11% PKB, na Węgrzech 5,3% PKB,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w Islandii 8,1% PKB, w Irlandii 5,3% PKB, w Litwie 5,5% PKB, w Holandii 9,6% PKB, w Portugalii 7,2% PKB, w Słowenii 6,8% PKB, w Szwecji 9,8% PKB, w Wielkiej Brytanii 9,9% PKB. </w:t>
      </w:r>
    </w:p>
    <w:p w14:paraId="1988AC3F" w14:textId="77777777" w:rsidR="005E0439" w:rsidRPr="00604F1B" w:rsidRDefault="005E0439" w:rsidP="001344C1">
      <w:pPr>
        <w:jc w:val="both"/>
        <w:rPr>
          <w:rFonts w:ascii="Arial Nova" w:hAnsi="Arial Nova" w:cs="Cambria"/>
        </w:rPr>
      </w:pPr>
      <w:r w:rsidRPr="00604F1B">
        <w:rPr>
          <w:rFonts w:ascii="Arial Nova" w:hAnsi="Arial Nova" w:cs="Cambria"/>
        </w:rPr>
        <w:t xml:space="preserve">Należy podkreślić, że na konieczność wprowadzenia do systemu prawnego mechanizmów aktualizacji wyceny świadczeń zwracała uwagę również Najwyższa Izba Kontroli. </w:t>
      </w:r>
    </w:p>
    <w:p w14:paraId="2B44A11D" w14:textId="77777777" w:rsidR="00B61930" w:rsidRPr="00604F1B" w:rsidRDefault="005E0439" w:rsidP="001344C1">
      <w:pPr>
        <w:jc w:val="both"/>
        <w:rPr>
          <w:rFonts w:ascii="Arial Nova" w:hAnsi="Arial Nova" w:cs="Cambria"/>
        </w:rPr>
      </w:pPr>
      <w:r w:rsidRPr="00604F1B">
        <w:rPr>
          <w:rFonts w:ascii="Arial Nova" w:hAnsi="Arial Nova" w:cs="Cambria"/>
        </w:rPr>
        <w:t xml:space="preserve">Prezes Najwyższej Izby Kontroli zatwierdził w dniu 22.04.2021 r. podsumowanie wyników kontroli: „Wycena świadczeń opieki zdrowotnej finansowanych ze środków publicznych”. [Sygnatura: KZD.430.002.2021, Nr </w:t>
      </w:r>
      <w:proofErr w:type="spellStart"/>
      <w:r w:rsidRPr="00604F1B">
        <w:rPr>
          <w:rFonts w:ascii="Arial Nova" w:hAnsi="Arial Nova" w:cs="Cambria"/>
        </w:rPr>
        <w:t>ewid</w:t>
      </w:r>
      <w:proofErr w:type="spellEnd"/>
      <w:r w:rsidRPr="00604F1B">
        <w:rPr>
          <w:rFonts w:ascii="Arial Nova" w:hAnsi="Arial Nova" w:cs="Cambria"/>
        </w:rPr>
        <w:t xml:space="preserve">. 18/2021/P/20/055/KZD]. W dokumencie tym jako pierwszy wniosek z kontroli kierowany do Ministra Zdrowia wskazano: </w:t>
      </w:r>
      <w:r w:rsidRPr="00604F1B">
        <w:rPr>
          <w:rFonts w:ascii="Arial Nova" w:hAnsi="Arial Nova" w:cs="Cambria"/>
          <w:bCs/>
        </w:rPr>
        <w:t xml:space="preserve">„Zapewnienie prawidłowego funkcjonowania mechanizmu aktualizacji wyceny, wynikającej ze wzrostu kosztów udzielania świadczeń opieki zdrowotnej, z uwzględnieniem, wynikających z ustawy </w:t>
      </w:r>
      <w:r w:rsidR="00086A72" w:rsidRPr="00604F1B">
        <w:rPr>
          <w:rFonts w:ascii="Arial Nova" w:hAnsi="Arial Nova" w:cs="Cambria"/>
          <w:bCs/>
        </w:rPr>
        <w:br/>
      </w:r>
      <w:r w:rsidRPr="00604F1B">
        <w:rPr>
          <w:rFonts w:ascii="Arial Nova" w:hAnsi="Arial Nova" w:cs="Cambria"/>
          <w:bCs/>
          <w:i/>
          <w:iCs/>
        </w:rPr>
        <w:t xml:space="preserve">o świadczeniach </w:t>
      </w:r>
      <w:r w:rsidRPr="00604F1B">
        <w:rPr>
          <w:rFonts w:ascii="Arial Nova" w:hAnsi="Arial Nova" w:cs="Cambria"/>
          <w:bCs/>
        </w:rPr>
        <w:t>kompetencji AOTMiT oraz NFZ.”</w:t>
      </w:r>
    </w:p>
    <w:p w14:paraId="02E5A02B" w14:textId="77777777" w:rsidR="00B61930" w:rsidRPr="00604F1B" w:rsidRDefault="00B61930" w:rsidP="001344C1">
      <w:pPr>
        <w:jc w:val="both"/>
        <w:rPr>
          <w:rFonts w:ascii="Arial Nova" w:hAnsi="Arial Nova"/>
          <w:b/>
        </w:rPr>
      </w:pPr>
      <w:r w:rsidRPr="00604F1B">
        <w:rPr>
          <w:rFonts w:ascii="Arial Nova" w:hAnsi="Arial Nova"/>
          <w:b/>
        </w:rPr>
        <w:lastRenderedPageBreak/>
        <w:t xml:space="preserve">Szczegółowy opis projektowanych rozwiązań. </w:t>
      </w:r>
    </w:p>
    <w:p w14:paraId="3E3E41CD" w14:textId="77777777" w:rsidR="00BE79AC" w:rsidRPr="00604F1B" w:rsidRDefault="00BE79AC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Art. 31e ust. 2 dodaje się pkt 2a</w:t>
      </w:r>
    </w:p>
    <w:p w14:paraId="756F2772" w14:textId="5ABA989C" w:rsidR="00BD5A43" w:rsidRPr="00604F1B" w:rsidRDefault="00BE79AC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Proponuje się umożliwienie reprezentatywnym organizacjom świadczeniodawców składanie do Ministra Zdrowia wniosków w sprawie usunięcia danego świadczenia opieki zdrowotnej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z wykazu świadczeń gwarantowanych albo dokonania zmiany poziomu lub sposobu finansowania lub warunków realizacji świadczenia gwarantowanego. Wskazany przepis nie będzie obligował Ministra Zdrowia do podjęcia działań w celu dokonania zmian wynikających </w:t>
      </w:r>
      <w:r w:rsidR="00086A72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>z wniosku. Zgodnie z art. 31</w:t>
      </w:r>
      <w:r w:rsidR="00BD5A43" w:rsidRPr="00604F1B">
        <w:rPr>
          <w:rFonts w:ascii="Arial Nova" w:hAnsi="Arial Nova"/>
        </w:rPr>
        <w:t xml:space="preserve"> ust. 1 i 2 </w:t>
      </w:r>
      <w:proofErr w:type="spellStart"/>
      <w:r w:rsidR="00BD5A43" w:rsidRPr="00604F1B">
        <w:rPr>
          <w:rFonts w:ascii="Arial Nova" w:hAnsi="Arial Nova"/>
        </w:rPr>
        <w:t>u.ś.o.z</w:t>
      </w:r>
      <w:proofErr w:type="spellEnd"/>
      <w:r w:rsidR="00BD5A43" w:rsidRPr="00604F1B">
        <w:rPr>
          <w:rFonts w:ascii="Arial Nova" w:hAnsi="Arial Nova"/>
        </w:rPr>
        <w:t xml:space="preserve"> za reprezentatywną organizację świadczeniodawców uważa się taką organizację, która zrzesza świadczeniodawców, u których liczba osób zatrudnionych i osób udzielających świadczeń opieki zdrowotnej wynosi łącznie co najmniej </w:t>
      </w:r>
      <w:r w:rsidR="00086A72" w:rsidRPr="00604F1B">
        <w:rPr>
          <w:rFonts w:ascii="Arial Nova" w:hAnsi="Arial Nova"/>
        </w:rPr>
        <w:br/>
      </w:r>
      <w:r w:rsidR="00BD5A43" w:rsidRPr="00604F1B">
        <w:rPr>
          <w:rFonts w:ascii="Arial Nova" w:hAnsi="Arial Nova"/>
        </w:rPr>
        <w:t>10 000. Minister właściwy do spraw zdrowia prowadzi wykaz reprezentatywnych organizacji świadczeniodawców.</w:t>
      </w:r>
    </w:p>
    <w:p w14:paraId="44492651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Art. 31ha ust. 1 </w:t>
      </w:r>
      <w:r w:rsidR="00BE79AC" w:rsidRPr="00604F1B">
        <w:rPr>
          <w:rFonts w:ascii="Arial Nova" w:hAnsi="Arial Nova"/>
        </w:rPr>
        <w:t xml:space="preserve"> </w:t>
      </w:r>
    </w:p>
    <w:p w14:paraId="454FCC77" w14:textId="40F1E27E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W projekcie przewiduje się nałożenie na Prezesa Agencji Oceny Technologii Medycznych </w:t>
      </w:r>
      <w:r w:rsidR="00086A72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i Taryfikacji ustawowego obowiązku przeprowadzenia analizy dotyczącej sposobu lub poziomu finansowania  świadczeń opieki zdrowotnej w dwóch przypadkach: tj. w związku ze wzrostem wynagrodzeń w sektorze ochrony zdrowia oraz w związku ze wzrostem innych kosztów udzielania świadczeń opieki zdrowotnej. Dodatkowo minister właściwy do spraw zdrowia nadal będzie miał możliwość wydania Prezesowi Agencji zlecenia przygotowania raportu </w:t>
      </w:r>
      <w:r w:rsidR="00086A72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i rekomendacji w sprawie zmiany sposobu lub poziomu finansowania świadczeń opieki zdrowotnej w związku z nadzwyczajnym wzrostem kosztów udzielania świadczeń opieki zdrowotnej. Przewiduje się wprowadzenie terminów na przygotowanie raportu i rekomendacji. W przypadku kosztów innych niż koszty pracy i pochodnych proponuje się termin 31 marca. Jest on skorelowany z terminem przekazywania przez podmioty lecznicze sektora publicznego wstępnych sprawozdań o finansach (sprawozdanie MZ-03), który upływa 28 lutego.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W przypadku kosztów pracy i pochodnych (niezależnie od podstawy prawnej zatrudnienia) oraz kosztów usług medycznych proponuje się, aby był to termin 30 kwietnia, który jest skorelowany z terminem publikacji przez GUS informacji o wysokości przeciętnego wynagrodzenia </w:t>
      </w:r>
      <w:r w:rsidR="005D5B32">
        <w:rPr>
          <w:rFonts w:ascii="Arial Nova" w:hAnsi="Arial Nova"/>
        </w:rPr>
        <w:br/>
      </w:r>
      <w:r w:rsidRPr="00604F1B">
        <w:rPr>
          <w:rFonts w:ascii="Arial Nova" w:hAnsi="Arial Nova"/>
        </w:rPr>
        <w:t>w gospodarce narodowej w roku poprzednim (połowa lutego danego roku).</w:t>
      </w:r>
      <w:r w:rsidR="00086A72" w:rsidRPr="00604F1B">
        <w:rPr>
          <w:rFonts w:ascii="Arial Nova" w:hAnsi="Arial Nova"/>
        </w:rPr>
        <w:t xml:space="preserve"> </w:t>
      </w:r>
      <w:r w:rsidRPr="00604F1B">
        <w:rPr>
          <w:rFonts w:ascii="Arial Nova" w:hAnsi="Arial Nova"/>
        </w:rPr>
        <w:t xml:space="preserve">Dodatkowo, w celu zwiększenia transparentności działania AOTMiT proponuje się nałożenie na Prezesa Agencji obowiązku publikacji raportu i rekomendacji na stronie BIP jeszcze przed przekazaniem tych dokumentów do ministra właściwego do spraw zdrowia. </w:t>
      </w:r>
    </w:p>
    <w:p w14:paraId="2163BF4F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Art. 31ha ust. 1a</w:t>
      </w:r>
    </w:p>
    <w:p w14:paraId="0AAEF785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Projektowany przepis przewiduje możliwość zgłaszania przez partnerów społecznych uwag do raportu i rekomendacji Prezesa Agencji. </w:t>
      </w:r>
    </w:p>
    <w:p w14:paraId="755A572B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Art. 31ha ust. 1b</w:t>
      </w:r>
    </w:p>
    <w:p w14:paraId="25CF131F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Przepis stanowi częściowe powielenie obecnie obowiązującej regulacji zawartej w art. 31h ust. 1 i jest powiązany z omówionym wcześniej ust. 1a. Prezes Agencji będzie zobowiązany do przekazania raportu i rekomendacji do ministra właściwego do spraw zdrowia ale wraz </w:t>
      </w:r>
      <w:r w:rsidR="00086A72" w:rsidRPr="00604F1B">
        <w:rPr>
          <w:rFonts w:ascii="Arial Nova" w:hAnsi="Arial Nova"/>
        </w:rPr>
        <w:br/>
      </w:r>
      <w:r w:rsidRPr="00604F1B">
        <w:rPr>
          <w:rFonts w:ascii="Arial Nova" w:hAnsi="Arial Nova"/>
        </w:rPr>
        <w:t xml:space="preserve">z uwagami jakie do tych dokumentów wpłynęły od partnerów społecznych. W przepisie proponuje się określenie terminu realizacji tego obowiązku. </w:t>
      </w:r>
    </w:p>
    <w:p w14:paraId="141D418A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Art. 31ha ust. 1c</w:t>
      </w:r>
    </w:p>
    <w:p w14:paraId="4168043A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lastRenderedPageBreak/>
        <w:t xml:space="preserve">Proponuje się nałożenie na Prezesa GUS obowiązku publikacji (w oparciu o wstępne sprawozdania MZ-03) informacji o inflacji sektorowej w ochronie zdrowia. </w:t>
      </w:r>
    </w:p>
    <w:p w14:paraId="4E770EA5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Art. 31ha ust. 2-2b </w:t>
      </w:r>
    </w:p>
    <w:p w14:paraId="4879A728" w14:textId="51EFD0E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Przepisy określają minimalną zawartość raportu opracowanego przez AOTMiT. Należy przy tym zaznaczyć, że w projekcie ustawy nie przewiduje się automatycznego (tj. o wskaźnik inflacji) przeliczenia wartości kontraktów zawartych pomiędzy świadczeniodawcami a NFZ, a jedynie wzięci</w:t>
      </w:r>
      <w:r w:rsidR="000A02E6">
        <w:rPr>
          <w:rFonts w:ascii="Arial Nova" w:hAnsi="Arial Nova"/>
        </w:rPr>
        <w:t>e</w:t>
      </w:r>
      <w:r w:rsidRPr="00604F1B">
        <w:rPr>
          <w:rFonts w:ascii="Arial Nova" w:hAnsi="Arial Nova"/>
        </w:rPr>
        <w:t xml:space="preserve"> przez Agencję</w:t>
      </w:r>
      <w:r w:rsidR="002A444F">
        <w:rPr>
          <w:rFonts w:ascii="Arial Nova" w:hAnsi="Arial Nova"/>
        </w:rPr>
        <w:t xml:space="preserve"> pod uwagę</w:t>
      </w:r>
      <w:r w:rsidRPr="00604F1B">
        <w:rPr>
          <w:rFonts w:ascii="Arial Nova" w:hAnsi="Arial Nova"/>
        </w:rPr>
        <w:t xml:space="preserve"> przy zmianie zasad finansowania</w:t>
      </w:r>
      <w:r w:rsidR="002A444F">
        <w:rPr>
          <w:rFonts w:ascii="Arial Nova" w:hAnsi="Arial Nova"/>
        </w:rPr>
        <w:t xml:space="preserve">, </w:t>
      </w:r>
      <w:r w:rsidRPr="00604F1B">
        <w:rPr>
          <w:rFonts w:ascii="Arial Nova" w:hAnsi="Arial Nova"/>
        </w:rPr>
        <w:t xml:space="preserve">czynników makroekonomicznych mogących mieć wpływ na koszty udzielania świadczeń opieki zdrowotnej. </w:t>
      </w:r>
    </w:p>
    <w:p w14:paraId="7E0E93DA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Art. 31ha ust. 3 </w:t>
      </w:r>
    </w:p>
    <w:p w14:paraId="104B08BC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Proponuje się skreślić ust. 3 – jest to konsekwencja zmian zaproponowanych w ust. 1. </w:t>
      </w:r>
    </w:p>
    <w:p w14:paraId="299AD590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Art. 31ha ust. 4</w:t>
      </w:r>
    </w:p>
    <w:p w14:paraId="33FFB0CE" w14:textId="0F395C71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W stosunku do obecnie obowiązującego przepisu proponuje się wprowadzenie dwóch zmian: określenia dla ministra właściwego do spraw zdrowia terminu zatwierdzania lub wprowadzenia poprawek do rekomendacji opracowanej przez AOTMiT oraz uwzględnienia w działaniach ministra uwag, </w:t>
      </w:r>
      <w:r w:rsidR="001344C1" w:rsidRPr="00604F1B">
        <w:rPr>
          <w:rFonts w:ascii="Arial Nova" w:hAnsi="Arial Nova"/>
        </w:rPr>
        <w:t xml:space="preserve">które </w:t>
      </w:r>
      <w:r w:rsidRPr="00604F1B">
        <w:rPr>
          <w:rFonts w:ascii="Arial Nova" w:hAnsi="Arial Nova"/>
        </w:rPr>
        <w:t xml:space="preserve">partnerzy społeczni będą mogli przekazać do raportu i rekomendacji na podstawie projektowanego ust. 1a. </w:t>
      </w:r>
    </w:p>
    <w:p w14:paraId="732EB137" w14:textId="77777777" w:rsidR="00B61930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Art. 31n pkt 2c</w:t>
      </w:r>
    </w:p>
    <w:p w14:paraId="615177C6" w14:textId="1E7E6831" w:rsidR="00BD5A43" w:rsidRPr="00604F1B" w:rsidRDefault="00B61930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 xml:space="preserve">Zmiana przepisu jest konsekwencją zmian przewidzianych w art. 31ha. </w:t>
      </w:r>
    </w:p>
    <w:p w14:paraId="726FF3B8" w14:textId="295E0A45" w:rsidR="00604F1B" w:rsidRPr="00604F1B" w:rsidRDefault="00604F1B" w:rsidP="001344C1">
      <w:pPr>
        <w:jc w:val="both"/>
        <w:rPr>
          <w:rFonts w:ascii="Arial Nova" w:hAnsi="Arial Nova"/>
        </w:rPr>
      </w:pPr>
      <w:r w:rsidRPr="00604F1B">
        <w:rPr>
          <w:rFonts w:ascii="Arial Nova" w:hAnsi="Arial Nova"/>
        </w:rPr>
        <w:t>Proponuje się</w:t>
      </w:r>
      <w:r w:rsidR="00353B88">
        <w:rPr>
          <w:rFonts w:ascii="Arial Nova" w:hAnsi="Arial Nova"/>
        </w:rPr>
        <w:t>,</w:t>
      </w:r>
      <w:bookmarkStart w:id="1" w:name="_GoBack"/>
      <w:bookmarkEnd w:id="1"/>
      <w:r w:rsidRPr="00604F1B">
        <w:rPr>
          <w:rFonts w:ascii="Arial Nova" w:hAnsi="Arial Nova"/>
        </w:rPr>
        <w:t xml:space="preserve"> aby ustawa weszła w życie 1 stycznia 2024 r. </w:t>
      </w:r>
    </w:p>
    <w:p w14:paraId="0D6CDD3F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p w14:paraId="24706619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p w14:paraId="07098701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p w14:paraId="138CF481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p w14:paraId="218CA2C0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p w14:paraId="2B4C67D5" w14:textId="77777777" w:rsidR="00B61930" w:rsidRPr="00604F1B" w:rsidRDefault="00B61930" w:rsidP="001344C1">
      <w:pPr>
        <w:jc w:val="both"/>
        <w:rPr>
          <w:rFonts w:ascii="Arial Nova" w:hAnsi="Arial Nova"/>
        </w:rPr>
      </w:pPr>
    </w:p>
    <w:sectPr w:rsidR="00B61930" w:rsidRPr="00604F1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D4624" w14:textId="77777777" w:rsidR="00A55411" w:rsidRDefault="00A55411" w:rsidP="00E80951">
      <w:pPr>
        <w:spacing w:after="0" w:line="240" w:lineRule="auto"/>
      </w:pPr>
      <w:r>
        <w:separator/>
      </w:r>
    </w:p>
  </w:endnote>
  <w:endnote w:type="continuationSeparator" w:id="0">
    <w:p w14:paraId="46DD3B6B" w14:textId="77777777" w:rsidR="00A55411" w:rsidRDefault="00A55411" w:rsidP="00E8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72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5F4F10" w14:textId="3FC17BE0" w:rsidR="00353B88" w:rsidRDefault="00353B88">
            <w:pPr>
              <w:pStyle w:val="Stopka"/>
              <w:jc w:val="right"/>
            </w:pPr>
            <w:r w:rsidRPr="00353B88">
              <w:t xml:space="preserve">Strona </w:t>
            </w:r>
            <w:r w:rsidRPr="00353B88">
              <w:rPr>
                <w:bCs/>
                <w:sz w:val="24"/>
                <w:szCs w:val="24"/>
              </w:rPr>
              <w:fldChar w:fldCharType="begin"/>
            </w:r>
            <w:r w:rsidRPr="00353B88">
              <w:rPr>
                <w:bCs/>
              </w:rPr>
              <w:instrText>PAGE</w:instrText>
            </w:r>
            <w:r w:rsidRPr="00353B88">
              <w:rPr>
                <w:bCs/>
                <w:sz w:val="24"/>
                <w:szCs w:val="24"/>
              </w:rPr>
              <w:fldChar w:fldCharType="separate"/>
            </w:r>
            <w:r w:rsidRPr="00353B88">
              <w:rPr>
                <w:bCs/>
              </w:rPr>
              <w:t>2</w:t>
            </w:r>
            <w:r w:rsidRPr="00353B88">
              <w:rPr>
                <w:bCs/>
                <w:sz w:val="24"/>
                <w:szCs w:val="24"/>
              </w:rPr>
              <w:fldChar w:fldCharType="end"/>
            </w:r>
            <w:r w:rsidRPr="00353B88">
              <w:t xml:space="preserve"> z </w:t>
            </w:r>
            <w:r w:rsidRPr="00353B88">
              <w:rPr>
                <w:bCs/>
                <w:sz w:val="24"/>
                <w:szCs w:val="24"/>
              </w:rPr>
              <w:fldChar w:fldCharType="begin"/>
            </w:r>
            <w:r w:rsidRPr="00353B88">
              <w:rPr>
                <w:bCs/>
              </w:rPr>
              <w:instrText>NUMPAGES</w:instrText>
            </w:r>
            <w:r w:rsidRPr="00353B88">
              <w:rPr>
                <w:bCs/>
                <w:sz w:val="24"/>
                <w:szCs w:val="24"/>
              </w:rPr>
              <w:fldChar w:fldCharType="separate"/>
            </w:r>
            <w:r w:rsidRPr="00353B88">
              <w:rPr>
                <w:bCs/>
              </w:rPr>
              <w:t>2</w:t>
            </w:r>
            <w:r w:rsidRPr="00353B8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83D38" w14:textId="77777777" w:rsidR="00353B88" w:rsidRDefault="00353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3188" w14:textId="77777777" w:rsidR="00A55411" w:rsidRDefault="00A55411" w:rsidP="00E80951">
      <w:pPr>
        <w:spacing w:after="0" w:line="240" w:lineRule="auto"/>
      </w:pPr>
      <w:r>
        <w:separator/>
      </w:r>
    </w:p>
  </w:footnote>
  <w:footnote w:type="continuationSeparator" w:id="0">
    <w:p w14:paraId="48324ED3" w14:textId="77777777" w:rsidR="00A55411" w:rsidRDefault="00A55411" w:rsidP="00E8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502D"/>
    <w:multiLevelType w:val="hybridMultilevel"/>
    <w:tmpl w:val="0E5C381E"/>
    <w:lvl w:ilvl="0" w:tplc="B3ECF0CC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0BB4"/>
    <w:multiLevelType w:val="hybridMultilevel"/>
    <w:tmpl w:val="48D8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069F"/>
    <w:multiLevelType w:val="hybridMultilevel"/>
    <w:tmpl w:val="59DC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7C11"/>
    <w:multiLevelType w:val="hybridMultilevel"/>
    <w:tmpl w:val="F986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01C3C"/>
    <w:multiLevelType w:val="hybridMultilevel"/>
    <w:tmpl w:val="9B408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8"/>
    <w:rsid w:val="000304BF"/>
    <w:rsid w:val="000504C0"/>
    <w:rsid w:val="00086A72"/>
    <w:rsid w:val="00097EC4"/>
    <w:rsid w:val="000A02E6"/>
    <w:rsid w:val="001344C1"/>
    <w:rsid w:val="001571E8"/>
    <w:rsid w:val="001A5B14"/>
    <w:rsid w:val="001C46D1"/>
    <w:rsid w:val="001C7E5F"/>
    <w:rsid w:val="001E656F"/>
    <w:rsid w:val="00214059"/>
    <w:rsid w:val="002649CA"/>
    <w:rsid w:val="0028288F"/>
    <w:rsid w:val="002A0E59"/>
    <w:rsid w:val="002A444F"/>
    <w:rsid w:val="002B06DF"/>
    <w:rsid w:val="002C6DAC"/>
    <w:rsid w:val="00324FBD"/>
    <w:rsid w:val="00353B88"/>
    <w:rsid w:val="00363115"/>
    <w:rsid w:val="00363299"/>
    <w:rsid w:val="003C56C0"/>
    <w:rsid w:val="003C5F7E"/>
    <w:rsid w:val="005271C2"/>
    <w:rsid w:val="005336F1"/>
    <w:rsid w:val="00544B4F"/>
    <w:rsid w:val="005900C3"/>
    <w:rsid w:val="005C55B5"/>
    <w:rsid w:val="005D5B32"/>
    <w:rsid w:val="005E0439"/>
    <w:rsid w:val="006012B1"/>
    <w:rsid w:val="00604F1B"/>
    <w:rsid w:val="00611668"/>
    <w:rsid w:val="00625ACA"/>
    <w:rsid w:val="00644856"/>
    <w:rsid w:val="00694EB4"/>
    <w:rsid w:val="006D4C60"/>
    <w:rsid w:val="006F0250"/>
    <w:rsid w:val="00726D18"/>
    <w:rsid w:val="00875018"/>
    <w:rsid w:val="008B585B"/>
    <w:rsid w:val="008C3F4D"/>
    <w:rsid w:val="009718D6"/>
    <w:rsid w:val="009A62AD"/>
    <w:rsid w:val="009E6EE3"/>
    <w:rsid w:val="00A3325B"/>
    <w:rsid w:val="00A46B5E"/>
    <w:rsid w:val="00A55411"/>
    <w:rsid w:val="00A614E3"/>
    <w:rsid w:val="00A63C56"/>
    <w:rsid w:val="00A71CE0"/>
    <w:rsid w:val="00A77548"/>
    <w:rsid w:val="00A94C65"/>
    <w:rsid w:val="00AA0AE0"/>
    <w:rsid w:val="00AB3C8C"/>
    <w:rsid w:val="00B178DF"/>
    <w:rsid w:val="00B50B71"/>
    <w:rsid w:val="00B61930"/>
    <w:rsid w:val="00BD002C"/>
    <w:rsid w:val="00BD5A43"/>
    <w:rsid w:val="00BD6F65"/>
    <w:rsid w:val="00BE658E"/>
    <w:rsid w:val="00BE79AC"/>
    <w:rsid w:val="00C72623"/>
    <w:rsid w:val="00C911CA"/>
    <w:rsid w:val="00D17E2E"/>
    <w:rsid w:val="00D36617"/>
    <w:rsid w:val="00D530F3"/>
    <w:rsid w:val="00DB6932"/>
    <w:rsid w:val="00E12BC4"/>
    <w:rsid w:val="00E80951"/>
    <w:rsid w:val="00E919B3"/>
    <w:rsid w:val="00EB22BB"/>
    <w:rsid w:val="00ED7300"/>
    <w:rsid w:val="00F25632"/>
    <w:rsid w:val="00F33D7A"/>
    <w:rsid w:val="00F41BE0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82C3"/>
  <w15:chartTrackingRefBased/>
  <w15:docId w15:val="{35C20A22-C5EA-498B-A44A-61B838F4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2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9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6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94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E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5B5"/>
    <w:rPr>
      <w:b/>
      <w:bCs/>
      <w:sz w:val="20"/>
      <w:szCs w:val="20"/>
    </w:rPr>
  </w:style>
  <w:style w:type="character" w:customStyle="1" w:styleId="alb-s">
    <w:name w:val="a_lb-s"/>
    <w:basedOn w:val="Domylnaczcionkaakapitu"/>
    <w:rsid w:val="00A71CE0"/>
  </w:style>
  <w:style w:type="paragraph" w:styleId="NormalnyWeb">
    <w:name w:val="Normal (Web)"/>
    <w:basedOn w:val="Normalny"/>
    <w:uiPriority w:val="99"/>
    <w:semiHidden/>
    <w:unhideWhenUsed/>
    <w:rsid w:val="00A7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1A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1A5B1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88"/>
  </w:style>
  <w:style w:type="paragraph" w:styleId="Stopka">
    <w:name w:val="footer"/>
    <w:basedOn w:val="Normalny"/>
    <w:link w:val="StopkaZnak"/>
    <w:uiPriority w:val="99"/>
    <w:unhideWhenUsed/>
    <w:rsid w:val="003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4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9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1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54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40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6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78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2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77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094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33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10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63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1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8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7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59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40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18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630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69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39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87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2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s.oecd.org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\Downloads\5d6f68f8-c607-422d-af77-cb70b7d3e04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pl-PL"/>
              <a:t>Publiczne</a:t>
            </a:r>
            <a:r>
              <a:rPr lang="pl-PL" baseline="0"/>
              <a:t> nakłady na ochronę zdrowia w Polsce w latach 2010-2021 w stosunku do PKB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'OECD.Stat export'!$D$2:$O$2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strCache>
            </c:strRef>
          </c:cat>
          <c:val>
            <c:numRef>
              <c:f>'OECD.Stat export'!$D$3:$O$3</c:f>
              <c:numCache>
                <c:formatCode>#\ ##0.0_ ;\-#\ ##0.0\ </c:formatCode>
                <c:ptCount val="12"/>
                <c:pt idx="0">
                  <c:v>4.5960000000000001</c:v>
                </c:pt>
                <c:pt idx="1">
                  <c:v>4.423</c:v>
                </c:pt>
                <c:pt idx="2">
                  <c:v>4.359</c:v>
                </c:pt>
                <c:pt idx="3">
                  <c:v>4.5330000000000004</c:v>
                </c:pt>
                <c:pt idx="4">
                  <c:v>4.4370000000000003</c:v>
                </c:pt>
                <c:pt idx="5">
                  <c:v>4.46</c:v>
                </c:pt>
                <c:pt idx="6">
                  <c:v>4.53</c:v>
                </c:pt>
                <c:pt idx="7">
                  <c:v>4.5449999999999999</c:v>
                </c:pt>
                <c:pt idx="8">
                  <c:v>4.524</c:v>
                </c:pt>
                <c:pt idx="9">
                  <c:v>4.6269999999999998</c:v>
                </c:pt>
                <c:pt idx="10">
                  <c:v>4.6920000000000002</c:v>
                </c:pt>
                <c:pt idx="11">
                  <c:v>4.7850000000000001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8D-4549-89BA-8E3ADDDC863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301628079"/>
        <c:axId val="1291950431"/>
      </c:barChart>
      <c:catAx>
        <c:axId val="13016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91950431"/>
        <c:crosses val="autoZero"/>
        <c:auto val="1"/>
        <c:lblAlgn val="ctr"/>
        <c:lblOffset val="100"/>
        <c:noMultiLvlLbl val="0"/>
      </c:catAx>
      <c:valAx>
        <c:axId val="1291950431"/>
        <c:scaling>
          <c:orientation val="minMax"/>
        </c:scaling>
        <c:delete val="1"/>
        <c:axPos val="l"/>
        <c:numFmt formatCode="#\ ##0.0_ ;\-#\ ##0.0\ " sourceLinked="1"/>
        <c:majorTickMark val="none"/>
        <c:minorTickMark val="none"/>
        <c:tickLblPos val="nextTo"/>
        <c:crossAx val="1301628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1110-6EC4-4433-8A77-9E937E3B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2838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ZPP</Company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Skóbel</dc:creator>
  <cp:keywords/>
  <dc:description/>
  <cp:lastModifiedBy>Wojciech Dąbrówka</cp:lastModifiedBy>
  <cp:revision>4</cp:revision>
  <cp:lastPrinted>2023-05-15T12:04:00Z</cp:lastPrinted>
  <dcterms:created xsi:type="dcterms:W3CDTF">2023-05-15T12:02:00Z</dcterms:created>
  <dcterms:modified xsi:type="dcterms:W3CDTF">2023-05-15T12:04:00Z</dcterms:modified>
</cp:coreProperties>
</file>